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EDB7AF4" w14:textId="77777777" w:rsidR="003B7CBB" w:rsidRPr="000556AF" w:rsidRDefault="003B7CBB">
      <w:pPr>
        <w:rPr>
          <w:sz w:val="20"/>
          <w:szCs w:val="20"/>
        </w:rPr>
      </w:pPr>
    </w:p>
    <w:tbl>
      <w:tblPr>
        <w:tblStyle w:val="a"/>
        <w:tblW w:w="15498" w:type="dxa"/>
        <w:tblInd w:w="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575"/>
        <w:gridCol w:w="4348"/>
        <w:gridCol w:w="47"/>
        <w:gridCol w:w="5528"/>
      </w:tblGrid>
      <w:tr w:rsidR="003B7CBB" w:rsidRPr="000556AF" w14:paraId="1631860A" w14:textId="77777777" w:rsidTr="00A73F0D">
        <w:trPr>
          <w:trHeight w:val="420"/>
        </w:trPr>
        <w:tc>
          <w:tcPr>
            <w:tcW w:w="15498" w:type="dxa"/>
            <w:gridSpan w:val="4"/>
            <w:shd w:val="clear" w:color="auto" w:fill="548DD4" w:themeFill="text2" w:themeFillTint="99"/>
            <w:vAlign w:val="center"/>
          </w:tcPr>
          <w:p w14:paraId="65089B0F" w14:textId="26C19F32" w:rsidR="003B7CBB" w:rsidRPr="0017108C" w:rsidRDefault="00DE6811" w:rsidP="00DD6BF3">
            <w:pPr>
              <w:widowControl w:val="0"/>
              <w:spacing w:line="240" w:lineRule="auto"/>
              <w:jc w:val="center"/>
              <w:rPr>
                <w:rFonts w:ascii="Garamond" w:hAnsi="Garamond" w:cstheme="majorHAnsi"/>
                <w:b/>
                <w:sz w:val="32"/>
                <w:szCs w:val="32"/>
              </w:rPr>
            </w:pPr>
            <w:r w:rsidRPr="0017108C">
              <w:rPr>
                <w:rFonts w:ascii="Garamond" w:hAnsi="Garamond" w:cstheme="majorHAnsi"/>
                <w:b/>
                <w:sz w:val="32"/>
                <w:szCs w:val="32"/>
              </w:rPr>
              <w:t>History</w:t>
            </w:r>
            <w:r w:rsidR="009D176C">
              <w:rPr>
                <w:rFonts w:ascii="Garamond" w:hAnsi="Garamond" w:cstheme="majorHAnsi"/>
                <w:b/>
                <w:sz w:val="32"/>
                <w:szCs w:val="32"/>
              </w:rPr>
              <w:t xml:space="preserve"> </w:t>
            </w:r>
            <w:bookmarkStart w:id="0" w:name="_GoBack"/>
            <w:bookmarkEnd w:id="0"/>
          </w:p>
        </w:tc>
      </w:tr>
      <w:tr w:rsidR="003B7CBB" w:rsidRPr="000556AF" w14:paraId="01064793" w14:textId="77777777" w:rsidTr="00FB3747">
        <w:trPr>
          <w:trHeight w:val="406"/>
        </w:trPr>
        <w:tc>
          <w:tcPr>
            <w:tcW w:w="15498" w:type="dxa"/>
            <w:gridSpan w:val="4"/>
            <w:shd w:val="clear" w:color="auto" w:fill="8DB3E2" w:themeFill="text2" w:themeFillTint="66"/>
            <w:vAlign w:val="center"/>
          </w:tcPr>
          <w:p w14:paraId="04EFDD37" w14:textId="77777777" w:rsidR="003B7CBB" w:rsidRPr="0017108C" w:rsidRDefault="009E3D1C">
            <w:pPr>
              <w:widowControl w:val="0"/>
              <w:spacing w:line="240" w:lineRule="auto"/>
              <w:jc w:val="center"/>
              <w:rPr>
                <w:rFonts w:ascii="Garamond" w:hAnsi="Garamond" w:cstheme="majorHAnsi"/>
                <w:sz w:val="24"/>
                <w:szCs w:val="24"/>
              </w:rPr>
            </w:pPr>
            <w:r w:rsidRPr="0017108C">
              <w:rPr>
                <w:rFonts w:ascii="Garamond" w:hAnsi="Garamond" w:cstheme="majorHAnsi"/>
                <w:sz w:val="24"/>
                <w:szCs w:val="24"/>
              </w:rPr>
              <w:t>Purpose of study</w:t>
            </w:r>
          </w:p>
        </w:tc>
      </w:tr>
      <w:tr w:rsidR="003B7CBB" w:rsidRPr="000556AF" w14:paraId="054E369C" w14:textId="77777777" w:rsidTr="001F224A">
        <w:trPr>
          <w:trHeight w:val="400"/>
        </w:trPr>
        <w:tc>
          <w:tcPr>
            <w:tcW w:w="15498" w:type="dxa"/>
            <w:gridSpan w:val="4"/>
            <w:vAlign w:val="center"/>
          </w:tcPr>
          <w:p w14:paraId="68F4758B" w14:textId="77777777" w:rsidR="003B7CBB" w:rsidRPr="0017108C" w:rsidRDefault="009E3D1C" w:rsidP="00CE1F59">
            <w:pPr>
              <w:widowControl w:val="0"/>
              <w:spacing w:line="240" w:lineRule="auto"/>
              <w:rPr>
                <w:rFonts w:ascii="Garamond" w:hAnsi="Garamond" w:cstheme="majorHAnsi"/>
              </w:rPr>
            </w:pPr>
            <w:r w:rsidRPr="0017108C">
              <w:rPr>
                <w:rFonts w:ascii="Garamond" w:hAnsi="Garamond" w:cstheme="majorHAnsi"/>
              </w:rPr>
              <w:t>A high-quality history education will help pupils gain a coherent knowledge and understanding of Britain’s past and that of the wider world. It should inspire pupils’ curiosity to know more about the past. Teaching should equip pupils to ask perceptive questions, think critically, weigh evidence, sift arguments, and develop perspective and judgement. History helps pupils to understand the complexity of people’s lives, the process of change, the diversity of societies and relationships between different groups, as well as their own identity and the challenges of their time.</w:t>
            </w:r>
          </w:p>
        </w:tc>
      </w:tr>
      <w:tr w:rsidR="003B7CBB" w:rsidRPr="000556AF" w14:paraId="02BA2102" w14:textId="77777777" w:rsidTr="00A73F0D">
        <w:trPr>
          <w:trHeight w:val="400"/>
        </w:trPr>
        <w:tc>
          <w:tcPr>
            <w:tcW w:w="15498" w:type="dxa"/>
            <w:gridSpan w:val="4"/>
            <w:shd w:val="clear" w:color="auto" w:fill="8DB3E2" w:themeFill="text2" w:themeFillTint="66"/>
            <w:vAlign w:val="center"/>
          </w:tcPr>
          <w:p w14:paraId="2491A6D6" w14:textId="77777777" w:rsidR="003B7CBB" w:rsidRPr="0017108C" w:rsidRDefault="009E3D1C">
            <w:pPr>
              <w:widowControl w:val="0"/>
              <w:spacing w:line="240" w:lineRule="auto"/>
              <w:jc w:val="center"/>
              <w:rPr>
                <w:rFonts w:ascii="Garamond" w:hAnsi="Garamond"/>
                <w:sz w:val="24"/>
                <w:szCs w:val="24"/>
              </w:rPr>
            </w:pPr>
            <w:r w:rsidRPr="0017108C">
              <w:rPr>
                <w:rFonts w:ascii="Garamond" w:hAnsi="Garamond"/>
                <w:sz w:val="24"/>
                <w:szCs w:val="24"/>
              </w:rPr>
              <w:t>Aims</w:t>
            </w:r>
          </w:p>
        </w:tc>
      </w:tr>
      <w:tr w:rsidR="003B7CBB" w:rsidRPr="000556AF" w14:paraId="712781B8" w14:textId="77777777" w:rsidTr="001F224A">
        <w:trPr>
          <w:trHeight w:val="400"/>
        </w:trPr>
        <w:tc>
          <w:tcPr>
            <w:tcW w:w="15498" w:type="dxa"/>
            <w:gridSpan w:val="4"/>
            <w:vAlign w:val="center"/>
          </w:tcPr>
          <w:p w14:paraId="39910538" w14:textId="77777777" w:rsidR="003B7CBB" w:rsidRPr="0017108C" w:rsidRDefault="009E3D1C" w:rsidP="008A1F7C">
            <w:pPr>
              <w:widowControl w:val="0"/>
              <w:spacing w:line="240" w:lineRule="auto"/>
              <w:rPr>
                <w:rFonts w:ascii="Garamond" w:hAnsi="Garamond" w:cs="Calibri"/>
              </w:rPr>
            </w:pPr>
            <w:r w:rsidRPr="0017108C">
              <w:rPr>
                <w:rFonts w:ascii="Garamond" w:hAnsi="Garamond" w:cs="Calibri"/>
              </w:rPr>
              <w:t xml:space="preserve">The national curriculum for history aims to ensure that all pupils: </w:t>
            </w:r>
          </w:p>
          <w:p w14:paraId="0B8217BB" w14:textId="77777777" w:rsidR="003B7CBB" w:rsidRPr="0017108C" w:rsidRDefault="009E3D1C" w:rsidP="008A1F7C">
            <w:pPr>
              <w:widowControl w:val="0"/>
              <w:numPr>
                <w:ilvl w:val="0"/>
                <w:numId w:val="1"/>
              </w:numPr>
              <w:spacing w:line="240" w:lineRule="auto"/>
              <w:rPr>
                <w:rFonts w:ascii="Garamond" w:hAnsi="Garamond" w:cs="Calibri"/>
              </w:rPr>
            </w:pPr>
            <w:r w:rsidRPr="0017108C">
              <w:rPr>
                <w:rFonts w:ascii="Garamond" w:hAnsi="Garamond" w:cs="Calibri"/>
              </w:rPr>
              <w:t>know and understand the history of these islands as a coherent, chronological narrative, from the earliest times to the present day: how people’s lives have shaped this nation and how Britain has influenced and been influenced by the wider world.</w:t>
            </w:r>
          </w:p>
          <w:p w14:paraId="18D51802" w14:textId="5D5DD146" w:rsidR="003B7CBB" w:rsidRPr="0017108C" w:rsidRDefault="009E3D1C" w:rsidP="008A1F7C">
            <w:pPr>
              <w:widowControl w:val="0"/>
              <w:numPr>
                <w:ilvl w:val="0"/>
                <w:numId w:val="1"/>
              </w:numPr>
              <w:spacing w:line="240" w:lineRule="auto"/>
              <w:rPr>
                <w:rFonts w:ascii="Garamond" w:hAnsi="Garamond" w:cs="Calibri"/>
              </w:rPr>
            </w:pPr>
            <w:r w:rsidRPr="0017108C">
              <w:rPr>
                <w:rFonts w:ascii="Garamond" w:hAnsi="Garamond" w:cs="Calibri"/>
              </w:rPr>
              <w:t xml:space="preserve">know and understand significant aspects of the history of the wider world: the nature of ancient </w:t>
            </w:r>
            <w:r w:rsidR="000834A0" w:rsidRPr="0017108C">
              <w:rPr>
                <w:rFonts w:ascii="Garamond" w:hAnsi="Garamond" w:cs="Calibri"/>
              </w:rPr>
              <w:t>civilis</w:t>
            </w:r>
            <w:r w:rsidR="003A04A0" w:rsidRPr="0017108C">
              <w:rPr>
                <w:rFonts w:ascii="Garamond" w:hAnsi="Garamond" w:cs="Calibri"/>
              </w:rPr>
              <w:t>ations</w:t>
            </w:r>
            <w:r w:rsidRPr="0017108C">
              <w:rPr>
                <w:rFonts w:ascii="Garamond" w:hAnsi="Garamond" w:cs="Calibri"/>
              </w:rPr>
              <w:t>; the expansion and dissolution of empires; characteristic features of past non-European societies; achievements and follies of mankind.</w:t>
            </w:r>
          </w:p>
          <w:p w14:paraId="4206CB9C" w14:textId="5F877B5F" w:rsidR="003B7CBB" w:rsidRPr="0017108C" w:rsidRDefault="009E3D1C" w:rsidP="008A1F7C">
            <w:pPr>
              <w:widowControl w:val="0"/>
              <w:numPr>
                <w:ilvl w:val="0"/>
                <w:numId w:val="1"/>
              </w:numPr>
              <w:spacing w:line="240" w:lineRule="auto"/>
              <w:rPr>
                <w:rFonts w:ascii="Garamond" w:hAnsi="Garamond" w:cs="Calibri"/>
              </w:rPr>
            </w:pPr>
            <w:r w:rsidRPr="0017108C">
              <w:rPr>
                <w:rFonts w:ascii="Garamond" w:hAnsi="Garamond" w:cs="Calibri"/>
              </w:rPr>
              <w:t>gain and deploy a historically grounded understanding of abstract terms such as ‘empire’, ‘</w:t>
            </w:r>
            <w:r w:rsidR="000834A0" w:rsidRPr="0017108C">
              <w:rPr>
                <w:rFonts w:ascii="Garamond" w:hAnsi="Garamond" w:cs="Calibri"/>
              </w:rPr>
              <w:t>civilis</w:t>
            </w:r>
            <w:r w:rsidR="003A04A0" w:rsidRPr="0017108C">
              <w:rPr>
                <w:rFonts w:ascii="Garamond" w:hAnsi="Garamond" w:cs="Calibri"/>
              </w:rPr>
              <w:t>ation</w:t>
            </w:r>
            <w:r w:rsidRPr="0017108C">
              <w:rPr>
                <w:rFonts w:ascii="Garamond" w:hAnsi="Garamond" w:cs="Calibri"/>
              </w:rPr>
              <w:t>’, ‘parliament’ and ‘peasantry’.</w:t>
            </w:r>
          </w:p>
          <w:p w14:paraId="19BDF312" w14:textId="6A517D3A" w:rsidR="003B7CBB" w:rsidRPr="0017108C" w:rsidRDefault="009E3D1C" w:rsidP="008A1F7C">
            <w:pPr>
              <w:widowControl w:val="0"/>
              <w:numPr>
                <w:ilvl w:val="0"/>
                <w:numId w:val="1"/>
              </w:numPr>
              <w:spacing w:line="240" w:lineRule="auto"/>
              <w:rPr>
                <w:rFonts w:ascii="Garamond" w:hAnsi="Garamond" w:cs="Calibri"/>
              </w:rPr>
            </w:pPr>
            <w:r w:rsidRPr="0017108C">
              <w:rPr>
                <w:rFonts w:ascii="Garamond" w:hAnsi="Garamond" w:cs="Calibri"/>
              </w:rPr>
              <w:t xml:space="preserve">understand historical concepts such as continuity and change, cause and consequence, similarity, difference and significance, and use them to make connections, draw contrasts, </w:t>
            </w:r>
            <w:r w:rsidR="003A04A0" w:rsidRPr="0017108C">
              <w:rPr>
                <w:rFonts w:ascii="Garamond" w:hAnsi="Garamond" w:cs="Calibri"/>
              </w:rPr>
              <w:t>analyse</w:t>
            </w:r>
            <w:r w:rsidRPr="0017108C">
              <w:rPr>
                <w:rFonts w:ascii="Garamond" w:hAnsi="Garamond" w:cs="Calibri"/>
              </w:rPr>
              <w:t xml:space="preserve"> trends, frame historically-valid questions and create their own structured accounts, including written narratives and analyses.</w:t>
            </w:r>
          </w:p>
          <w:p w14:paraId="2722B363" w14:textId="77777777" w:rsidR="003B7CBB" w:rsidRPr="0017108C" w:rsidRDefault="009E3D1C" w:rsidP="008A1F7C">
            <w:pPr>
              <w:widowControl w:val="0"/>
              <w:numPr>
                <w:ilvl w:val="0"/>
                <w:numId w:val="1"/>
              </w:numPr>
              <w:spacing w:line="240" w:lineRule="auto"/>
              <w:rPr>
                <w:rFonts w:ascii="Garamond" w:hAnsi="Garamond" w:cs="Calibri"/>
              </w:rPr>
            </w:pPr>
            <w:r w:rsidRPr="0017108C">
              <w:rPr>
                <w:rFonts w:ascii="Garamond" w:hAnsi="Garamond" w:cs="Calibri"/>
              </w:rPr>
              <w:t>understand the methods of historical enquiry, including how evidence is used rigorously to make historical claims, and discern how and why contrasting arguments and interpretations of the past have been constructed.</w:t>
            </w:r>
          </w:p>
          <w:p w14:paraId="79489921" w14:textId="77777777" w:rsidR="003B7CBB" w:rsidRPr="0017108C" w:rsidRDefault="009E3D1C" w:rsidP="008A1F7C">
            <w:pPr>
              <w:widowControl w:val="0"/>
              <w:numPr>
                <w:ilvl w:val="0"/>
                <w:numId w:val="1"/>
              </w:numPr>
              <w:spacing w:line="240" w:lineRule="auto"/>
              <w:rPr>
                <w:rFonts w:ascii="Garamond" w:hAnsi="Garamond" w:cs="Calibri"/>
                <w:sz w:val="20"/>
                <w:szCs w:val="20"/>
              </w:rPr>
            </w:pPr>
            <w:r w:rsidRPr="0017108C">
              <w:rPr>
                <w:rFonts w:ascii="Garamond" w:hAnsi="Garamond" w:cs="Calibri"/>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tc>
      </w:tr>
      <w:tr w:rsidR="003B7CBB" w:rsidRPr="000556AF" w14:paraId="3D2D6D25" w14:textId="77777777" w:rsidTr="00A73F0D">
        <w:trPr>
          <w:trHeight w:val="400"/>
        </w:trPr>
        <w:tc>
          <w:tcPr>
            <w:tcW w:w="15498" w:type="dxa"/>
            <w:gridSpan w:val="4"/>
            <w:shd w:val="clear" w:color="auto" w:fill="548DD4" w:themeFill="text2" w:themeFillTint="99"/>
            <w:vAlign w:val="center"/>
          </w:tcPr>
          <w:p w14:paraId="13A85E11" w14:textId="77777777" w:rsidR="003B7CBB" w:rsidRPr="0017108C" w:rsidRDefault="009E3D1C">
            <w:pPr>
              <w:widowControl w:val="0"/>
              <w:spacing w:line="240" w:lineRule="auto"/>
              <w:jc w:val="center"/>
              <w:rPr>
                <w:rFonts w:ascii="Garamond" w:hAnsi="Garamond" w:cs="Calibri"/>
                <w:b/>
                <w:sz w:val="28"/>
                <w:szCs w:val="28"/>
              </w:rPr>
            </w:pPr>
            <w:r w:rsidRPr="0017108C">
              <w:rPr>
                <w:rFonts w:ascii="Garamond" w:hAnsi="Garamond" w:cs="Calibri"/>
                <w:b/>
                <w:sz w:val="28"/>
                <w:szCs w:val="28"/>
              </w:rPr>
              <w:t>Main focus for each key stage</w:t>
            </w:r>
          </w:p>
        </w:tc>
      </w:tr>
      <w:tr w:rsidR="003B7CBB" w:rsidRPr="000556AF" w14:paraId="65EF0423" w14:textId="77777777" w:rsidTr="00660161">
        <w:trPr>
          <w:trHeight w:val="440"/>
        </w:trPr>
        <w:tc>
          <w:tcPr>
            <w:tcW w:w="9970" w:type="dxa"/>
            <w:gridSpan w:val="3"/>
            <w:shd w:val="clear" w:color="auto" w:fill="8DB3E2" w:themeFill="text2" w:themeFillTint="66"/>
            <w:tcMar>
              <w:top w:w="100" w:type="dxa"/>
              <w:left w:w="100" w:type="dxa"/>
              <w:bottom w:w="100" w:type="dxa"/>
              <w:right w:w="100" w:type="dxa"/>
            </w:tcMar>
            <w:vAlign w:val="center"/>
          </w:tcPr>
          <w:p w14:paraId="12C0FC69" w14:textId="77777777" w:rsidR="003B7CBB" w:rsidRPr="0017108C" w:rsidRDefault="009E3D1C">
            <w:pPr>
              <w:widowControl w:val="0"/>
              <w:spacing w:line="240" w:lineRule="auto"/>
              <w:jc w:val="center"/>
              <w:rPr>
                <w:rFonts w:ascii="Garamond" w:hAnsi="Garamond" w:cs="Calibri"/>
                <w:sz w:val="24"/>
                <w:szCs w:val="24"/>
              </w:rPr>
            </w:pPr>
            <w:r w:rsidRPr="0017108C">
              <w:rPr>
                <w:rFonts w:ascii="Garamond" w:hAnsi="Garamond" w:cs="Calibri"/>
                <w:sz w:val="24"/>
                <w:szCs w:val="24"/>
              </w:rPr>
              <w:t>Key Stage 1</w:t>
            </w:r>
          </w:p>
        </w:tc>
        <w:tc>
          <w:tcPr>
            <w:tcW w:w="5528" w:type="dxa"/>
            <w:shd w:val="clear" w:color="auto" w:fill="8DB3E2" w:themeFill="text2" w:themeFillTint="66"/>
            <w:tcMar>
              <w:top w:w="100" w:type="dxa"/>
              <w:left w:w="100" w:type="dxa"/>
              <w:bottom w:w="100" w:type="dxa"/>
              <w:right w:w="100" w:type="dxa"/>
            </w:tcMar>
            <w:vAlign w:val="center"/>
          </w:tcPr>
          <w:p w14:paraId="10A00510" w14:textId="77777777" w:rsidR="003B7CBB" w:rsidRPr="0017108C" w:rsidRDefault="009E3D1C">
            <w:pPr>
              <w:widowControl w:val="0"/>
              <w:spacing w:line="240" w:lineRule="auto"/>
              <w:jc w:val="center"/>
              <w:rPr>
                <w:rFonts w:ascii="Garamond" w:hAnsi="Garamond" w:cs="Calibri"/>
                <w:sz w:val="24"/>
                <w:szCs w:val="24"/>
              </w:rPr>
            </w:pPr>
            <w:r w:rsidRPr="0017108C">
              <w:rPr>
                <w:rFonts w:ascii="Garamond" w:hAnsi="Garamond" w:cs="Calibri"/>
                <w:sz w:val="24"/>
                <w:szCs w:val="24"/>
              </w:rPr>
              <w:t>Key Stage 2</w:t>
            </w:r>
          </w:p>
        </w:tc>
      </w:tr>
      <w:tr w:rsidR="003B7CBB" w:rsidRPr="000556AF" w14:paraId="7FB7B4FF" w14:textId="77777777" w:rsidTr="00660161">
        <w:trPr>
          <w:trHeight w:val="400"/>
        </w:trPr>
        <w:tc>
          <w:tcPr>
            <w:tcW w:w="9970" w:type="dxa"/>
            <w:gridSpan w:val="3"/>
            <w:tcMar>
              <w:top w:w="100" w:type="dxa"/>
              <w:left w:w="100" w:type="dxa"/>
              <w:bottom w:w="100" w:type="dxa"/>
              <w:right w:w="100" w:type="dxa"/>
            </w:tcMar>
          </w:tcPr>
          <w:p w14:paraId="37C6E1EC" w14:textId="77777777" w:rsidR="003B7CBB" w:rsidRPr="0017108C" w:rsidRDefault="009E3D1C">
            <w:pPr>
              <w:widowControl w:val="0"/>
              <w:spacing w:line="240" w:lineRule="auto"/>
              <w:rPr>
                <w:rFonts w:ascii="Garamond" w:hAnsi="Garamond" w:cs="Calibri"/>
              </w:rPr>
            </w:pPr>
            <w:r w:rsidRPr="0017108C">
              <w:rPr>
                <w:rFonts w:ascii="Garamond" w:hAnsi="Garamond" w:cs="Calibri"/>
              </w:rPr>
              <w:t>Pupils should develop an awareness of the past, using common words and phrases relating to the passing of time. They should know where the people and events they study fit within a chronological framework and identify similarities and differences between ways of life in different periods. They should use a wide vocabulary of everyday historical terms. They should ask and answer questions, choosing and using parts of stories and other sources to show that they know and understand key features of events. They should understand some of the ways in which we find out about the past and identify different ways in which it is represented.</w:t>
            </w:r>
          </w:p>
          <w:p w14:paraId="1D7E9DF1" w14:textId="535D27A6" w:rsidR="00343569" w:rsidRPr="0017108C" w:rsidRDefault="00343569">
            <w:pPr>
              <w:widowControl w:val="0"/>
              <w:spacing w:line="240" w:lineRule="auto"/>
              <w:rPr>
                <w:rFonts w:ascii="Garamond" w:hAnsi="Garamond" w:cs="Calibri"/>
                <w:sz w:val="20"/>
                <w:szCs w:val="20"/>
              </w:rPr>
            </w:pPr>
          </w:p>
        </w:tc>
        <w:tc>
          <w:tcPr>
            <w:tcW w:w="5528" w:type="dxa"/>
            <w:tcMar>
              <w:top w:w="100" w:type="dxa"/>
              <w:left w:w="100" w:type="dxa"/>
              <w:bottom w:w="100" w:type="dxa"/>
              <w:right w:w="100" w:type="dxa"/>
            </w:tcMar>
          </w:tcPr>
          <w:p w14:paraId="02BE5559" w14:textId="77777777" w:rsidR="003B7CBB" w:rsidRDefault="009E3D1C">
            <w:pPr>
              <w:widowControl w:val="0"/>
              <w:spacing w:line="240" w:lineRule="auto"/>
              <w:rPr>
                <w:rFonts w:ascii="Garamond" w:hAnsi="Garamond" w:cs="Calibri"/>
                <w:sz w:val="20"/>
                <w:szCs w:val="20"/>
              </w:rPr>
            </w:pPr>
            <w:r w:rsidRPr="0017108C">
              <w:rPr>
                <w:rFonts w:ascii="Garamond" w:hAnsi="Garamond" w:cs="Calibri"/>
                <w:sz w:val="20"/>
                <w:szCs w:val="20"/>
              </w:rPr>
              <w:t>Pupils should continue to develop a chronologically secure knowledge and understanding of British, local and world history, establishing clear narratives within and across the periods they study. They should note connections, contrasts and trends over time and develop the appropriate use of historical terms. They should regularly address and sometimes devise historically valid questions about change, cause, similarity and difference, and significance. They should construct informed responses that involve thoughtful selection and organisation of relevant historical information. They should understand how our knowledge of the past is constructed from a range of sources.</w:t>
            </w:r>
          </w:p>
          <w:p w14:paraId="1D7DD742" w14:textId="3FF7066D" w:rsidR="0017108C" w:rsidRPr="0017108C" w:rsidRDefault="0017108C">
            <w:pPr>
              <w:widowControl w:val="0"/>
              <w:spacing w:line="240" w:lineRule="auto"/>
              <w:rPr>
                <w:rFonts w:ascii="Garamond" w:hAnsi="Garamond" w:cs="Calibri"/>
                <w:sz w:val="20"/>
                <w:szCs w:val="20"/>
              </w:rPr>
            </w:pPr>
          </w:p>
        </w:tc>
      </w:tr>
      <w:tr w:rsidR="003B7CBB" w:rsidRPr="000556AF" w14:paraId="49B55E3C" w14:textId="77777777" w:rsidTr="00604AA8">
        <w:tc>
          <w:tcPr>
            <w:tcW w:w="15498" w:type="dxa"/>
            <w:gridSpan w:val="4"/>
            <w:shd w:val="clear" w:color="auto" w:fill="C6D9F1" w:themeFill="text2" w:themeFillTint="33"/>
            <w:vAlign w:val="center"/>
          </w:tcPr>
          <w:p w14:paraId="45A7996A" w14:textId="77777777" w:rsidR="003B7CBB" w:rsidRPr="00D47EEE" w:rsidRDefault="009E3D1C">
            <w:pPr>
              <w:widowControl w:val="0"/>
              <w:spacing w:line="240" w:lineRule="auto"/>
              <w:jc w:val="center"/>
              <w:rPr>
                <w:rFonts w:ascii="Garamond" w:hAnsi="Garamond" w:cstheme="majorHAnsi"/>
                <w:b/>
                <w:sz w:val="28"/>
                <w:szCs w:val="28"/>
              </w:rPr>
            </w:pPr>
            <w:r w:rsidRPr="00D47EEE">
              <w:rPr>
                <w:rFonts w:ascii="Garamond" w:hAnsi="Garamond" w:cstheme="majorHAnsi"/>
                <w:b/>
                <w:sz w:val="28"/>
                <w:szCs w:val="28"/>
              </w:rPr>
              <w:lastRenderedPageBreak/>
              <w:t>Knowledge and understanding of local history</w:t>
            </w:r>
          </w:p>
        </w:tc>
      </w:tr>
      <w:tr w:rsidR="00AA2E50" w:rsidRPr="000556AF" w14:paraId="35F27F7B" w14:textId="77777777" w:rsidTr="00604AA8">
        <w:tc>
          <w:tcPr>
            <w:tcW w:w="5575" w:type="dxa"/>
            <w:shd w:val="clear" w:color="auto" w:fill="auto"/>
            <w:tcMar>
              <w:top w:w="100" w:type="dxa"/>
              <w:left w:w="100" w:type="dxa"/>
              <w:bottom w:w="100" w:type="dxa"/>
              <w:right w:w="100" w:type="dxa"/>
            </w:tcMar>
            <w:vAlign w:val="center"/>
          </w:tcPr>
          <w:p w14:paraId="4DECFEC2" w14:textId="33B32EED" w:rsidR="00AA2E50" w:rsidRPr="0081750E" w:rsidRDefault="00AA2E50" w:rsidP="00C14202">
            <w:pPr>
              <w:widowControl w:val="0"/>
              <w:spacing w:line="240" w:lineRule="auto"/>
              <w:jc w:val="center"/>
              <w:rPr>
                <w:rFonts w:ascii="Garamond" w:hAnsi="Garamond" w:cstheme="majorHAnsi"/>
                <w:b/>
                <w:sz w:val="24"/>
                <w:szCs w:val="24"/>
              </w:rPr>
            </w:pPr>
            <w:r w:rsidRPr="0081750E">
              <w:rPr>
                <w:rFonts w:ascii="Garamond" w:hAnsi="Garamond" w:cstheme="majorHAnsi"/>
                <w:b/>
                <w:sz w:val="24"/>
                <w:szCs w:val="24"/>
              </w:rPr>
              <w:t>Year 1/2</w:t>
            </w:r>
          </w:p>
        </w:tc>
        <w:tc>
          <w:tcPr>
            <w:tcW w:w="4395" w:type="dxa"/>
            <w:gridSpan w:val="2"/>
            <w:shd w:val="clear" w:color="auto" w:fill="auto"/>
            <w:tcMar>
              <w:top w:w="100" w:type="dxa"/>
              <w:left w:w="100" w:type="dxa"/>
              <w:bottom w:w="100" w:type="dxa"/>
              <w:right w:w="100" w:type="dxa"/>
            </w:tcMar>
            <w:vAlign w:val="center"/>
          </w:tcPr>
          <w:p w14:paraId="17F645F3" w14:textId="28C51B90" w:rsidR="00AA2E50" w:rsidRPr="0081750E" w:rsidRDefault="00AA2E50">
            <w:pPr>
              <w:widowControl w:val="0"/>
              <w:spacing w:line="240" w:lineRule="auto"/>
              <w:jc w:val="center"/>
              <w:rPr>
                <w:rFonts w:ascii="Garamond" w:hAnsi="Garamond" w:cstheme="majorHAnsi"/>
                <w:b/>
                <w:sz w:val="24"/>
                <w:szCs w:val="24"/>
              </w:rPr>
            </w:pPr>
            <w:r w:rsidRPr="0081750E">
              <w:rPr>
                <w:rFonts w:ascii="Garamond" w:hAnsi="Garamond" w:cstheme="majorHAnsi"/>
                <w:b/>
                <w:sz w:val="24"/>
                <w:szCs w:val="24"/>
              </w:rPr>
              <w:t>Year 3/4</w:t>
            </w:r>
          </w:p>
        </w:tc>
        <w:tc>
          <w:tcPr>
            <w:tcW w:w="5528" w:type="dxa"/>
            <w:shd w:val="clear" w:color="auto" w:fill="auto"/>
            <w:tcMar>
              <w:top w:w="100" w:type="dxa"/>
              <w:left w:w="100" w:type="dxa"/>
              <w:bottom w:w="100" w:type="dxa"/>
              <w:right w:w="100" w:type="dxa"/>
            </w:tcMar>
            <w:vAlign w:val="center"/>
          </w:tcPr>
          <w:p w14:paraId="5DE63D36" w14:textId="07598F91" w:rsidR="00AA2E50" w:rsidRPr="0081750E" w:rsidRDefault="00AA2E50">
            <w:pPr>
              <w:widowControl w:val="0"/>
              <w:spacing w:line="240" w:lineRule="auto"/>
              <w:jc w:val="center"/>
              <w:rPr>
                <w:rFonts w:ascii="Garamond" w:hAnsi="Garamond" w:cstheme="majorHAnsi"/>
                <w:b/>
                <w:sz w:val="24"/>
                <w:szCs w:val="24"/>
              </w:rPr>
            </w:pPr>
            <w:r w:rsidRPr="0081750E">
              <w:rPr>
                <w:rFonts w:ascii="Garamond" w:hAnsi="Garamond" w:cstheme="majorHAnsi"/>
                <w:b/>
                <w:sz w:val="24"/>
                <w:szCs w:val="24"/>
              </w:rPr>
              <w:t>Year 5/6</w:t>
            </w:r>
          </w:p>
        </w:tc>
      </w:tr>
      <w:tr w:rsidR="009061C4" w:rsidRPr="000556AF" w14:paraId="35F3AE20" w14:textId="77777777" w:rsidTr="00D3159A">
        <w:trPr>
          <w:trHeight w:val="437"/>
        </w:trPr>
        <w:tc>
          <w:tcPr>
            <w:tcW w:w="5575" w:type="dxa"/>
            <w:shd w:val="clear" w:color="auto" w:fill="auto"/>
            <w:tcMar>
              <w:top w:w="100" w:type="dxa"/>
              <w:left w:w="100" w:type="dxa"/>
              <w:bottom w:w="100" w:type="dxa"/>
              <w:right w:w="100" w:type="dxa"/>
            </w:tcMar>
          </w:tcPr>
          <w:p w14:paraId="1A7DFA98" w14:textId="77777777" w:rsidR="00D3159A" w:rsidRPr="00B62351" w:rsidRDefault="00D3159A" w:rsidP="00D3159A">
            <w:pPr>
              <w:widowControl w:val="0"/>
              <w:spacing w:line="240" w:lineRule="auto"/>
              <w:rPr>
                <w:rFonts w:ascii="Garamond" w:hAnsi="Garamond" w:cs="Calibri"/>
                <w:b/>
                <w:color w:val="00B050"/>
                <w:sz w:val="24"/>
                <w:szCs w:val="24"/>
              </w:rPr>
            </w:pPr>
            <w:r w:rsidRPr="00B62351">
              <w:rPr>
                <w:rFonts w:ascii="Garamond" w:hAnsi="Garamond" w:cs="Calibri"/>
                <w:b/>
                <w:color w:val="00B050"/>
                <w:sz w:val="24"/>
                <w:szCs w:val="24"/>
              </w:rPr>
              <w:t xml:space="preserve">How has Buckland changed? </w:t>
            </w:r>
          </w:p>
          <w:p w14:paraId="33116AA0" w14:textId="48059DA7" w:rsidR="009061C4" w:rsidRPr="00942EA5" w:rsidRDefault="00D3159A" w:rsidP="00D3159A">
            <w:pPr>
              <w:widowControl w:val="0"/>
              <w:spacing w:line="240" w:lineRule="auto"/>
              <w:rPr>
                <w:rFonts w:ascii="Garamond" w:hAnsi="Garamond" w:cs="Calibri"/>
                <w:sz w:val="24"/>
                <w:szCs w:val="24"/>
              </w:rPr>
            </w:pPr>
            <w:r w:rsidRPr="00942EA5">
              <w:rPr>
                <w:rFonts w:ascii="Garamond" w:hAnsi="Garamond" w:cs="Calibri"/>
                <w:color w:val="00B050"/>
                <w:sz w:val="24"/>
                <w:szCs w:val="24"/>
              </w:rPr>
              <w:t>(Know about significant historical events, people and places in their own locality)</w:t>
            </w:r>
          </w:p>
        </w:tc>
        <w:tc>
          <w:tcPr>
            <w:tcW w:w="4395" w:type="dxa"/>
            <w:gridSpan w:val="2"/>
            <w:shd w:val="clear" w:color="auto" w:fill="auto"/>
            <w:tcMar>
              <w:top w:w="100" w:type="dxa"/>
              <w:left w:w="100" w:type="dxa"/>
              <w:bottom w:w="100" w:type="dxa"/>
              <w:right w:w="100" w:type="dxa"/>
            </w:tcMar>
          </w:tcPr>
          <w:p w14:paraId="122996C5" w14:textId="2E6B4AC6" w:rsidR="009061C4" w:rsidRPr="00B62351" w:rsidRDefault="009061C4" w:rsidP="00AA2E50">
            <w:pPr>
              <w:widowControl w:val="0"/>
              <w:spacing w:line="240" w:lineRule="auto"/>
              <w:rPr>
                <w:rFonts w:ascii="Garamond" w:hAnsi="Garamond" w:cs="Calibri"/>
                <w:b/>
                <w:color w:val="4F81BD" w:themeColor="accent1"/>
                <w:sz w:val="24"/>
                <w:szCs w:val="24"/>
              </w:rPr>
            </w:pPr>
            <w:r w:rsidRPr="00B62351">
              <w:rPr>
                <w:rFonts w:ascii="Garamond" w:hAnsi="Garamond" w:cs="Calibri"/>
                <w:b/>
                <w:color w:val="4F81BD" w:themeColor="accent1"/>
                <w:sz w:val="24"/>
                <w:szCs w:val="24"/>
              </w:rPr>
              <w:t xml:space="preserve">Local history study </w:t>
            </w:r>
            <w:r w:rsidR="00D3159A" w:rsidRPr="00B62351">
              <w:rPr>
                <w:rFonts w:ascii="Garamond" w:hAnsi="Garamond" w:cs="Calibri"/>
                <w:b/>
                <w:color w:val="4F81BD" w:themeColor="accent1"/>
                <w:sz w:val="24"/>
                <w:szCs w:val="24"/>
              </w:rPr>
              <w:t>– Victorians focus</w:t>
            </w:r>
          </w:p>
          <w:p w14:paraId="316342C9" w14:textId="1A6B90CB" w:rsidR="009061C4" w:rsidRPr="00D47EEE" w:rsidRDefault="009061C4" w:rsidP="00AA2E50">
            <w:pPr>
              <w:widowControl w:val="0"/>
              <w:spacing w:line="240" w:lineRule="auto"/>
              <w:rPr>
                <w:rFonts w:ascii="Garamond" w:hAnsi="Garamond" w:cstheme="majorHAnsi"/>
                <w:b/>
                <w:sz w:val="24"/>
                <w:szCs w:val="24"/>
              </w:rPr>
            </w:pPr>
          </w:p>
        </w:tc>
        <w:tc>
          <w:tcPr>
            <w:tcW w:w="5528" w:type="dxa"/>
            <w:tcMar>
              <w:top w:w="100" w:type="dxa"/>
              <w:left w:w="100" w:type="dxa"/>
              <w:bottom w:w="100" w:type="dxa"/>
              <w:right w:w="100" w:type="dxa"/>
            </w:tcMar>
          </w:tcPr>
          <w:p w14:paraId="4805E8AB" w14:textId="566B29C7" w:rsidR="009061C4" w:rsidRPr="000556AF" w:rsidRDefault="009061C4" w:rsidP="00AA2E50">
            <w:pPr>
              <w:widowControl w:val="0"/>
              <w:spacing w:line="240" w:lineRule="auto"/>
              <w:rPr>
                <w:sz w:val="16"/>
                <w:szCs w:val="16"/>
              </w:rPr>
            </w:pPr>
          </w:p>
        </w:tc>
      </w:tr>
      <w:tr w:rsidR="003B7CBB" w:rsidRPr="000556AF" w14:paraId="23006ABA" w14:textId="77777777" w:rsidTr="00D47EEE">
        <w:tc>
          <w:tcPr>
            <w:tcW w:w="15498" w:type="dxa"/>
            <w:gridSpan w:val="4"/>
            <w:shd w:val="clear" w:color="auto" w:fill="C6D9F1" w:themeFill="text2" w:themeFillTint="33"/>
            <w:vAlign w:val="center"/>
          </w:tcPr>
          <w:p w14:paraId="606BCF66" w14:textId="77777777" w:rsidR="003B7CBB" w:rsidRPr="00D47EEE" w:rsidRDefault="009E3D1C">
            <w:pPr>
              <w:widowControl w:val="0"/>
              <w:spacing w:line="240" w:lineRule="auto"/>
              <w:jc w:val="center"/>
              <w:rPr>
                <w:rFonts w:ascii="Garamond" w:hAnsi="Garamond"/>
                <w:b/>
                <w:sz w:val="28"/>
                <w:szCs w:val="28"/>
              </w:rPr>
            </w:pPr>
            <w:r w:rsidRPr="00D47EEE">
              <w:rPr>
                <w:rFonts w:ascii="Garamond" w:hAnsi="Garamond"/>
                <w:b/>
                <w:sz w:val="28"/>
                <w:szCs w:val="28"/>
              </w:rPr>
              <w:t>Knowledge and understanding of British history</w:t>
            </w:r>
          </w:p>
        </w:tc>
      </w:tr>
      <w:tr w:rsidR="005B6146" w:rsidRPr="000556AF" w14:paraId="75FEACD0" w14:textId="77777777" w:rsidTr="0081750E">
        <w:tc>
          <w:tcPr>
            <w:tcW w:w="5575" w:type="dxa"/>
            <w:shd w:val="clear" w:color="auto" w:fill="auto"/>
            <w:tcMar>
              <w:top w:w="100" w:type="dxa"/>
              <w:left w:w="100" w:type="dxa"/>
              <w:bottom w:w="100" w:type="dxa"/>
              <w:right w:w="100" w:type="dxa"/>
            </w:tcMar>
            <w:vAlign w:val="center"/>
          </w:tcPr>
          <w:p w14:paraId="5FD40C47" w14:textId="153BED59" w:rsidR="005B6146" w:rsidRPr="0081750E" w:rsidRDefault="005B6146">
            <w:pPr>
              <w:widowControl w:val="0"/>
              <w:spacing w:line="240" w:lineRule="auto"/>
              <w:jc w:val="center"/>
              <w:rPr>
                <w:rFonts w:ascii="Garamond" w:hAnsi="Garamond"/>
                <w:b/>
                <w:sz w:val="24"/>
                <w:szCs w:val="24"/>
              </w:rPr>
            </w:pPr>
            <w:r w:rsidRPr="0081750E">
              <w:rPr>
                <w:rFonts w:ascii="Garamond" w:hAnsi="Garamond"/>
                <w:b/>
                <w:sz w:val="24"/>
                <w:szCs w:val="24"/>
              </w:rPr>
              <w:t>Year 1/2</w:t>
            </w:r>
          </w:p>
        </w:tc>
        <w:tc>
          <w:tcPr>
            <w:tcW w:w="4395" w:type="dxa"/>
            <w:gridSpan w:val="2"/>
            <w:shd w:val="clear" w:color="auto" w:fill="auto"/>
            <w:tcMar>
              <w:top w:w="100" w:type="dxa"/>
              <w:left w:w="100" w:type="dxa"/>
              <w:bottom w:w="100" w:type="dxa"/>
              <w:right w:w="100" w:type="dxa"/>
            </w:tcMar>
            <w:vAlign w:val="center"/>
          </w:tcPr>
          <w:p w14:paraId="64E7E971" w14:textId="09BA2011" w:rsidR="005B6146" w:rsidRPr="0081750E" w:rsidRDefault="005B6146">
            <w:pPr>
              <w:widowControl w:val="0"/>
              <w:spacing w:line="240" w:lineRule="auto"/>
              <w:jc w:val="center"/>
              <w:rPr>
                <w:rFonts w:ascii="Garamond" w:hAnsi="Garamond"/>
                <w:b/>
                <w:sz w:val="24"/>
                <w:szCs w:val="24"/>
              </w:rPr>
            </w:pPr>
            <w:r w:rsidRPr="0081750E">
              <w:rPr>
                <w:rFonts w:ascii="Garamond" w:hAnsi="Garamond"/>
                <w:b/>
                <w:sz w:val="24"/>
                <w:szCs w:val="24"/>
              </w:rPr>
              <w:t>Year 3/4</w:t>
            </w:r>
          </w:p>
        </w:tc>
        <w:tc>
          <w:tcPr>
            <w:tcW w:w="5528" w:type="dxa"/>
            <w:shd w:val="clear" w:color="auto" w:fill="auto"/>
            <w:tcMar>
              <w:top w:w="100" w:type="dxa"/>
              <w:left w:w="100" w:type="dxa"/>
              <w:bottom w:w="100" w:type="dxa"/>
              <w:right w:w="100" w:type="dxa"/>
            </w:tcMar>
            <w:vAlign w:val="center"/>
          </w:tcPr>
          <w:p w14:paraId="2FF3723D" w14:textId="4E47DCF8" w:rsidR="005B6146" w:rsidRPr="0081750E" w:rsidRDefault="005B6146">
            <w:pPr>
              <w:widowControl w:val="0"/>
              <w:spacing w:line="240" w:lineRule="auto"/>
              <w:jc w:val="center"/>
              <w:rPr>
                <w:rFonts w:ascii="Garamond" w:hAnsi="Garamond"/>
                <w:b/>
                <w:sz w:val="24"/>
                <w:szCs w:val="24"/>
              </w:rPr>
            </w:pPr>
            <w:r w:rsidRPr="0081750E">
              <w:rPr>
                <w:rFonts w:ascii="Garamond" w:hAnsi="Garamond"/>
                <w:b/>
                <w:sz w:val="24"/>
                <w:szCs w:val="24"/>
              </w:rPr>
              <w:t>Year 5/6</w:t>
            </w:r>
          </w:p>
        </w:tc>
      </w:tr>
      <w:tr w:rsidR="00312033" w:rsidRPr="000556AF" w14:paraId="50ACFB10" w14:textId="77777777" w:rsidTr="00312033">
        <w:trPr>
          <w:trHeight w:val="622"/>
        </w:trPr>
        <w:tc>
          <w:tcPr>
            <w:tcW w:w="5575" w:type="dxa"/>
            <w:vMerge w:val="restart"/>
            <w:shd w:val="clear" w:color="auto" w:fill="auto"/>
            <w:tcMar>
              <w:top w:w="100" w:type="dxa"/>
              <w:left w:w="100" w:type="dxa"/>
              <w:bottom w:w="100" w:type="dxa"/>
              <w:right w:w="100" w:type="dxa"/>
            </w:tcMar>
          </w:tcPr>
          <w:p w14:paraId="00036AC4" w14:textId="77777777" w:rsidR="00F0423F" w:rsidRDefault="00312033" w:rsidP="00F0423F">
            <w:pPr>
              <w:widowControl w:val="0"/>
              <w:spacing w:line="240" w:lineRule="auto"/>
              <w:rPr>
                <w:rFonts w:ascii="Garamond" w:hAnsi="Garamond" w:cs="Calibri"/>
                <w:color w:val="4F81BD" w:themeColor="accent1"/>
                <w:sz w:val="24"/>
                <w:szCs w:val="24"/>
              </w:rPr>
            </w:pPr>
            <w:r w:rsidRPr="004C25EE">
              <w:rPr>
                <w:rFonts w:ascii="Garamond" w:hAnsi="Garamond" w:cs="Calibri"/>
                <w:b/>
                <w:color w:val="4F81BD" w:themeColor="accent1"/>
                <w:sz w:val="24"/>
                <w:szCs w:val="24"/>
              </w:rPr>
              <w:t xml:space="preserve">Explorers – Christopher Columbus; Neil Armstrong and </w:t>
            </w:r>
            <w:r w:rsidRPr="00D7379A">
              <w:rPr>
                <w:rFonts w:ascii="Garamond" w:hAnsi="Garamond" w:cs="Calibri"/>
                <w:b/>
                <w:color w:val="4F81BD" w:themeColor="accent1"/>
                <w:sz w:val="24"/>
                <w:szCs w:val="24"/>
                <w:u w:val="single"/>
              </w:rPr>
              <w:t>Tim Peake</w:t>
            </w:r>
            <w:r w:rsidR="00F0423F">
              <w:rPr>
                <w:rFonts w:ascii="Garamond" w:hAnsi="Garamond" w:cs="Calibri"/>
                <w:b/>
                <w:color w:val="4F81BD" w:themeColor="accent1"/>
                <w:sz w:val="24"/>
                <w:szCs w:val="24"/>
              </w:rPr>
              <w:t xml:space="preserve"> </w:t>
            </w:r>
            <w:r w:rsidR="00F0423F" w:rsidRPr="004C25EE">
              <w:rPr>
                <w:rFonts w:ascii="Garamond" w:hAnsi="Garamond" w:cs="Calibri"/>
                <w:color w:val="4F81BD" w:themeColor="accent1"/>
                <w:sz w:val="24"/>
                <w:szCs w:val="24"/>
              </w:rPr>
              <w:t>(Know about the lives of significant individuals in the past who have contributed to national and international achievements. Some should be used to compare aspects of life in different periods.)</w:t>
            </w:r>
          </w:p>
          <w:p w14:paraId="3D536171" w14:textId="6767B512" w:rsidR="00312033" w:rsidRPr="00F0423F" w:rsidRDefault="00312033" w:rsidP="00F0423F">
            <w:pPr>
              <w:rPr>
                <w:rFonts w:ascii="Garamond" w:hAnsi="Garamond" w:cs="Calibri"/>
                <w:b/>
                <w:color w:val="4F81BD" w:themeColor="accent1"/>
                <w:sz w:val="24"/>
                <w:szCs w:val="24"/>
              </w:rPr>
            </w:pPr>
          </w:p>
        </w:tc>
        <w:tc>
          <w:tcPr>
            <w:tcW w:w="4395" w:type="dxa"/>
            <w:gridSpan w:val="2"/>
            <w:shd w:val="clear" w:color="auto" w:fill="auto"/>
            <w:tcMar>
              <w:top w:w="100" w:type="dxa"/>
              <w:left w:w="100" w:type="dxa"/>
              <w:bottom w:w="100" w:type="dxa"/>
              <w:right w:w="100" w:type="dxa"/>
            </w:tcMar>
          </w:tcPr>
          <w:p w14:paraId="584E063D" w14:textId="7FF434B3" w:rsidR="00312033" w:rsidRPr="00203458" w:rsidRDefault="00312033" w:rsidP="00911AC4">
            <w:pPr>
              <w:widowControl w:val="0"/>
              <w:spacing w:line="240" w:lineRule="auto"/>
              <w:rPr>
                <w:rFonts w:ascii="Garamond" w:hAnsi="Garamond" w:cs="Calibri"/>
                <w:b/>
                <w:color w:val="4F81BD" w:themeColor="accent1"/>
                <w:sz w:val="24"/>
                <w:szCs w:val="24"/>
              </w:rPr>
            </w:pPr>
            <w:r w:rsidRPr="00203458">
              <w:rPr>
                <w:rFonts w:ascii="Garamond" w:hAnsi="Garamond" w:cs="Calibri"/>
                <w:b/>
                <w:color w:val="4F81BD" w:themeColor="accent1"/>
                <w:sz w:val="24"/>
                <w:szCs w:val="24"/>
              </w:rPr>
              <w:t>The Romans</w:t>
            </w:r>
          </w:p>
          <w:p w14:paraId="42CE0883" w14:textId="3E0CEEAC" w:rsidR="00312033" w:rsidRPr="00D24F41" w:rsidRDefault="00312033" w:rsidP="006E03C2">
            <w:pPr>
              <w:widowControl w:val="0"/>
              <w:spacing w:line="240" w:lineRule="auto"/>
              <w:rPr>
                <w:rFonts w:ascii="Calibri" w:hAnsi="Calibri" w:cs="Calibri"/>
                <w:sz w:val="20"/>
                <w:szCs w:val="20"/>
              </w:rPr>
            </w:pPr>
            <w:r w:rsidRPr="00D24F41">
              <w:rPr>
                <w:rFonts w:ascii="Garamond" w:hAnsi="Garamond" w:cs="Calibri"/>
                <w:color w:val="4F81BD" w:themeColor="accent1"/>
                <w:sz w:val="24"/>
                <w:szCs w:val="24"/>
              </w:rPr>
              <w:t>(Know about the Roman Empire and its impact on Britain)</w:t>
            </w:r>
          </w:p>
        </w:tc>
        <w:tc>
          <w:tcPr>
            <w:tcW w:w="5528" w:type="dxa"/>
            <w:shd w:val="clear" w:color="auto" w:fill="auto"/>
            <w:tcMar>
              <w:top w:w="100" w:type="dxa"/>
              <w:left w:w="100" w:type="dxa"/>
              <w:bottom w:w="100" w:type="dxa"/>
              <w:right w:w="100" w:type="dxa"/>
            </w:tcMar>
          </w:tcPr>
          <w:p w14:paraId="28340FF6" w14:textId="02CE11A0" w:rsidR="00312033" w:rsidRPr="00203458" w:rsidRDefault="00312033" w:rsidP="00203458">
            <w:pPr>
              <w:widowControl w:val="0"/>
              <w:spacing w:line="240" w:lineRule="auto"/>
              <w:rPr>
                <w:rFonts w:ascii="Garamond" w:hAnsi="Garamond" w:cs="Calibri"/>
                <w:b/>
                <w:color w:val="4F81BD" w:themeColor="accent1"/>
                <w:sz w:val="24"/>
                <w:szCs w:val="24"/>
              </w:rPr>
            </w:pPr>
            <w:r w:rsidRPr="00203458">
              <w:rPr>
                <w:rFonts w:ascii="Garamond" w:hAnsi="Garamond" w:cs="Calibri"/>
                <w:b/>
                <w:color w:val="4F81BD" w:themeColor="accent1"/>
                <w:sz w:val="24"/>
                <w:szCs w:val="24"/>
              </w:rPr>
              <w:t>Stone Age to the Iron Age</w:t>
            </w:r>
          </w:p>
          <w:p w14:paraId="752968F8" w14:textId="036D32C2" w:rsidR="00312033" w:rsidRPr="00D24F41" w:rsidRDefault="00312033">
            <w:pPr>
              <w:widowControl w:val="0"/>
              <w:spacing w:line="240" w:lineRule="auto"/>
              <w:rPr>
                <w:rFonts w:ascii="Calibri" w:hAnsi="Calibri" w:cs="Calibri"/>
                <w:sz w:val="20"/>
                <w:szCs w:val="20"/>
              </w:rPr>
            </w:pPr>
            <w:r w:rsidRPr="00D24F41">
              <w:rPr>
                <w:rFonts w:ascii="Garamond" w:hAnsi="Garamond" w:cs="Calibri"/>
                <w:color w:val="4F81BD" w:themeColor="accent1"/>
                <w:sz w:val="24"/>
                <w:szCs w:val="24"/>
              </w:rPr>
              <w:t>(Know about changes in Britain from the Stone Age to the Iron Age</w:t>
            </w:r>
            <w:r w:rsidRPr="00D24F41">
              <w:rPr>
                <w:rFonts w:ascii="Calibri" w:hAnsi="Calibri" w:cs="Calibri"/>
                <w:color w:val="4F81BD" w:themeColor="accent1"/>
                <w:sz w:val="20"/>
                <w:szCs w:val="20"/>
              </w:rPr>
              <w:t>)</w:t>
            </w:r>
          </w:p>
        </w:tc>
      </w:tr>
      <w:tr w:rsidR="00312033" w:rsidRPr="000556AF" w14:paraId="16FE45D6" w14:textId="77777777" w:rsidTr="00F01B03">
        <w:trPr>
          <w:cantSplit/>
          <w:trHeight w:val="864"/>
        </w:trPr>
        <w:tc>
          <w:tcPr>
            <w:tcW w:w="5575" w:type="dxa"/>
            <w:vMerge/>
            <w:shd w:val="clear" w:color="auto" w:fill="auto"/>
            <w:tcMar>
              <w:top w:w="100" w:type="dxa"/>
              <w:left w:w="100" w:type="dxa"/>
              <w:bottom w:w="100" w:type="dxa"/>
              <w:right w:w="100" w:type="dxa"/>
            </w:tcMar>
          </w:tcPr>
          <w:p w14:paraId="30681EC3" w14:textId="1A2D9720" w:rsidR="00312033" w:rsidRPr="004C25EE" w:rsidRDefault="00312033" w:rsidP="00EE3318">
            <w:pPr>
              <w:jc w:val="center"/>
              <w:rPr>
                <w:rFonts w:ascii="Calibri" w:hAnsi="Calibri" w:cs="Calibri"/>
                <w:b/>
                <w:sz w:val="24"/>
                <w:szCs w:val="24"/>
              </w:rPr>
            </w:pPr>
          </w:p>
        </w:tc>
        <w:tc>
          <w:tcPr>
            <w:tcW w:w="4395" w:type="dxa"/>
            <w:gridSpan w:val="2"/>
            <w:shd w:val="clear" w:color="auto" w:fill="FFFFFF" w:themeFill="background1"/>
            <w:tcMar>
              <w:top w:w="100" w:type="dxa"/>
              <w:left w:w="100" w:type="dxa"/>
              <w:bottom w:w="100" w:type="dxa"/>
              <w:right w:w="100" w:type="dxa"/>
            </w:tcMar>
          </w:tcPr>
          <w:p w14:paraId="35A5F7CC" w14:textId="77777777" w:rsidR="00312033" w:rsidRDefault="00312033" w:rsidP="00D24F41">
            <w:pPr>
              <w:widowControl w:val="0"/>
              <w:spacing w:line="240" w:lineRule="auto"/>
              <w:rPr>
                <w:rFonts w:ascii="Garamond" w:hAnsi="Garamond" w:cs="Calibri"/>
                <w:b/>
                <w:color w:val="4F81BD" w:themeColor="accent1"/>
                <w:sz w:val="24"/>
                <w:szCs w:val="24"/>
              </w:rPr>
            </w:pPr>
            <w:r w:rsidRPr="00D24F41">
              <w:rPr>
                <w:rFonts w:ascii="Garamond" w:hAnsi="Garamond" w:cs="Calibri"/>
                <w:b/>
                <w:color w:val="4F81BD" w:themeColor="accent1"/>
                <w:sz w:val="24"/>
                <w:szCs w:val="24"/>
              </w:rPr>
              <w:t xml:space="preserve">The Anglo-Saxons and the Scots </w:t>
            </w:r>
          </w:p>
          <w:p w14:paraId="2570F456" w14:textId="5C468127" w:rsidR="00312033" w:rsidRPr="00D24F41" w:rsidRDefault="00312033" w:rsidP="00D24F41">
            <w:pPr>
              <w:widowControl w:val="0"/>
              <w:spacing w:line="240" w:lineRule="auto"/>
              <w:rPr>
                <w:rFonts w:ascii="Garamond" w:hAnsi="Garamond" w:cs="Calibri"/>
                <w:sz w:val="24"/>
                <w:szCs w:val="24"/>
              </w:rPr>
            </w:pPr>
            <w:r w:rsidRPr="00D24F41">
              <w:rPr>
                <w:rFonts w:ascii="Garamond" w:hAnsi="Garamond" w:cs="Calibri"/>
                <w:color w:val="4F81BD" w:themeColor="accent1"/>
                <w:sz w:val="24"/>
                <w:szCs w:val="24"/>
              </w:rPr>
              <w:t>(Know about Britain’s settlement by Anglo-Saxons and Scots)</w:t>
            </w:r>
          </w:p>
        </w:tc>
        <w:tc>
          <w:tcPr>
            <w:tcW w:w="5528" w:type="dxa"/>
            <w:shd w:val="clear" w:color="auto" w:fill="FFFFFF" w:themeFill="background1"/>
            <w:tcMar>
              <w:top w:w="100" w:type="dxa"/>
              <w:left w:w="100" w:type="dxa"/>
              <w:bottom w:w="100" w:type="dxa"/>
              <w:right w:w="100" w:type="dxa"/>
            </w:tcMar>
          </w:tcPr>
          <w:p w14:paraId="795A4461" w14:textId="44D0DB52" w:rsidR="00312033" w:rsidRPr="005766BE" w:rsidRDefault="00312033" w:rsidP="00B21771">
            <w:pPr>
              <w:widowControl w:val="0"/>
              <w:spacing w:line="240" w:lineRule="auto"/>
              <w:rPr>
                <w:rFonts w:ascii="Garamond" w:hAnsi="Garamond" w:cs="Calibri"/>
                <w:b/>
                <w:sz w:val="24"/>
                <w:szCs w:val="24"/>
              </w:rPr>
            </w:pPr>
            <w:r w:rsidRPr="005766BE">
              <w:rPr>
                <w:rFonts w:ascii="Garamond" w:hAnsi="Garamond" w:cs="Calibri"/>
                <w:b/>
                <w:color w:val="4F81BD" w:themeColor="accent1"/>
                <w:sz w:val="24"/>
                <w:szCs w:val="24"/>
              </w:rPr>
              <w:t xml:space="preserve">The Tudors </w:t>
            </w:r>
            <w:r w:rsidRPr="004169E4">
              <w:rPr>
                <w:rFonts w:ascii="Garamond" w:hAnsi="Garamond" w:cs="Calibri"/>
                <w:color w:val="4F81BD" w:themeColor="accent1"/>
                <w:sz w:val="24"/>
                <w:szCs w:val="24"/>
              </w:rPr>
              <w:t>(Study of an aspect or theme in British history that extends pupils’ chronological knowledge beyond 1066)</w:t>
            </w:r>
          </w:p>
        </w:tc>
      </w:tr>
      <w:tr w:rsidR="004C25EE" w:rsidRPr="000556AF" w14:paraId="1E972AE6" w14:textId="77777777" w:rsidTr="00F01B03">
        <w:trPr>
          <w:cantSplit/>
          <w:trHeight w:val="923"/>
        </w:trPr>
        <w:tc>
          <w:tcPr>
            <w:tcW w:w="5575" w:type="dxa"/>
            <w:vMerge w:val="restart"/>
            <w:tcBorders>
              <w:left w:val="single" w:sz="4" w:space="0" w:color="auto"/>
            </w:tcBorders>
            <w:shd w:val="clear" w:color="auto" w:fill="FFFFFF" w:themeFill="background1"/>
            <w:tcMar>
              <w:top w:w="100" w:type="dxa"/>
              <w:left w:w="100" w:type="dxa"/>
              <w:bottom w:w="100" w:type="dxa"/>
              <w:right w:w="100" w:type="dxa"/>
            </w:tcMar>
          </w:tcPr>
          <w:p w14:paraId="7C300741" w14:textId="2AF15DB8" w:rsidR="004C25EE" w:rsidRPr="004C25EE" w:rsidRDefault="004C25EE" w:rsidP="004C25EE">
            <w:pPr>
              <w:widowControl w:val="0"/>
              <w:spacing w:line="240" w:lineRule="auto"/>
              <w:rPr>
                <w:rFonts w:ascii="Garamond" w:hAnsi="Garamond" w:cs="Calibri"/>
                <w:b/>
                <w:color w:val="4F81BD" w:themeColor="accent1"/>
                <w:sz w:val="24"/>
                <w:szCs w:val="24"/>
              </w:rPr>
            </w:pPr>
            <w:r w:rsidRPr="004C25EE">
              <w:rPr>
                <w:rFonts w:ascii="Garamond" w:hAnsi="Garamond" w:cs="Calibri"/>
                <w:b/>
                <w:color w:val="4F81BD" w:themeColor="accent1"/>
                <w:sz w:val="24"/>
                <w:szCs w:val="24"/>
              </w:rPr>
              <w:t xml:space="preserve">Inventors of travel and transport </w:t>
            </w:r>
            <w:r>
              <w:rPr>
                <w:rFonts w:ascii="Garamond" w:hAnsi="Garamond" w:cs="Calibri"/>
                <w:b/>
                <w:color w:val="4F81BD" w:themeColor="accent1"/>
                <w:sz w:val="24"/>
                <w:szCs w:val="24"/>
              </w:rPr>
              <w:t>–</w:t>
            </w:r>
            <w:r w:rsidRPr="004C25EE">
              <w:rPr>
                <w:rFonts w:ascii="Garamond" w:hAnsi="Garamond" w:cs="Calibri"/>
                <w:b/>
                <w:color w:val="4F81BD" w:themeColor="accent1"/>
                <w:sz w:val="24"/>
                <w:szCs w:val="24"/>
              </w:rPr>
              <w:t xml:space="preserve"> </w:t>
            </w:r>
            <w:r>
              <w:rPr>
                <w:rFonts w:ascii="Garamond" w:hAnsi="Garamond" w:cs="Calibri"/>
                <w:b/>
                <w:color w:val="4F81BD" w:themeColor="accent1"/>
                <w:sz w:val="24"/>
                <w:szCs w:val="24"/>
              </w:rPr>
              <w:t xml:space="preserve">How modes of travel have changed. </w:t>
            </w:r>
            <w:r w:rsidRPr="00D7379A">
              <w:rPr>
                <w:rFonts w:ascii="Garamond" w:hAnsi="Garamond" w:cs="Calibri"/>
                <w:b/>
                <w:color w:val="4F81BD" w:themeColor="accent1"/>
                <w:sz w:val="24"/>
                <w:szCs w:val="24"/>
                <w:u w:val="single"/>
              </w:rPr>
              <w:t>Brunel; Stephenson</w:t>
            </w:r>
            <w:r w:rsidRPr="004C25EE">
              <w:rPr>
                <w:rFonts w:ascii="Garamond" w:hAnsi="Garamond" w:cs="Calibri"/>
                <w:b/>
                <w:color w:val="4F81BD" w:themeColor="accent1"/>
                <w:sz w:val="24"/>
                <w:szCs w:val="24"/>
              </w:rPr>
              <w:t xml:space="preserve"> and the Wright brothers</w:t>
            </w:r>
          </w:p>
          <w:p w14:paraId="0A567DA2" w14:textId="77777777" w:rsidR="004C25EE" w:rsidRDefault="004C25EE" w:rsidP="00EE3318">
            <w:pPr>
              <w:widowControl w:val="0"/>
              <w:spacing w:line="240" w:lineRule="auto"/>
              <w:rPr>
                <w:rFonts w:ascii="Garamond" w:hAnsi="Garamond" w:cs="Calibri"/>
                <w:color w:val="4F81BD" w:themeColor="accent1"/>
                <w:sz w:val="24"/>
                <w:szCs w:val="24"/>
              </w:rPr>
            </w:pPr>
            <w:r w:rsidRPr="004C25EE">
              <w:rPr>
                <w:rFonts w:ascii="Garamond" w:hAnsi="Garamond" w:cs="Calibri"/>
                <w:color w:val="4F81BD" w:themeColor="accent1"/>
                <w:sz w:val="24"/>
                <w:szCs w:val="24"/>
              </w:rPr>
              <w:t>(Know about the lives of significant individuals in the past who have contributed to national and international achievements. Some should be used to compare aspects of life in different periods.)</w:t>
            </w:r>
          </w:p>
          <w:p w14:paraId="331E58D7" w14:textId="62A2D682" w:rsidR="004C25EE" w:rsidRDefault="004C25EE" w:rsidP="004C25EE">
            <w:pPr>
              <w:widowControl w:val="0"/>
              <w:spacing w:line="240" w:lineRule="auto"/>
              <w:rPr>
                <w:rFonts w:ascii="Garamond" w:hAnsi="Garamond" w:cs="Calibri"/>
                <w:color w:val="4F81BD" w:themeColor="accent1"/>
                <w:sz w:val="24"/>
                <w:szCs w:val="24"/>
              </w:rPr>
            </w:pPr>
            <w:r>
              <w:rPr>
                <w:rFonts w:ascii="Garamond" w:hAnsi="Garamond" w:cs="Calibri"/>
                <w:color w:val="4F81BD" w:themeColor="accent1"/>
                <w:sz w:val="24"/>
                <w:szCs w:val="24"/>
              </w:rPr>
              <w:t>(</w:t>
            </w:r>
            <w:r w:rsidRPr="004C25EE">
              <w:rPr>
                <w:rFonts w:ascii="Garamond" w:hAnsi="Garamond" w:cs="Calibri"/>
                <w:color w:val="4F81BD" w:themeColor="accent1"/>
                <w:sz w:val="24"/>
                <w:szCs w:val="24"/>
              </w:rPr>
              <w:t>Know about changes within living memory. Where appropriate, these should be used to reveal aspects of change in national life</w:t>
            </w:r>
            <w:r>
              <w:rPr>
                <w:rFonts w:ascii="Garamond" w:hAnsi="Garamond" w:cs="Calibri"/>
                <w:color w:val="4F81BD" w:themeColor="accent1"/>
                <w:sz w:val="24"/>
                <w:szCs w:val="24"/>
              </w:rPr>
              <w:t>)</w:t>
            </w:r>
          </w:p>
          <w:p w14:paraId="628D6126" w14:textId="3A6F81BB" w:rsidR="004C25EE" w:rsidRPr="004C25EE" w:rsidRDefault="002F24CE" w:rsidP="00EE3318">
            <w:pPr>
              <w:widowControl w:val="0"/>
              <w:spacing w:line="240" w:lineRule="auto"/>
              <w:rPr>
                <w:rFonts w:ascii="Garamond" w:hAnsi="Garamond" w:cs="Calibri"/>
                <w:color w:val="4F81BD" w:themeColor="accent1"/>
                <w:sz w:val="24"/>
                <w:szCs w:val="24"/>
              </w:rPr>
            </w:pPr>
            <w:r w:rsidRPr="002F24CE">
              <w:rPr>
                <w:rFonts w:ascii="Garamond" w:hAnsi="Garamond" w:cs="Calibri"/>
                <w:color w:val="4F81BD" w:themeColor="accent1"/>
                <w:sz w:val="24"/>
                <w:szCs w:val="24"/>
              </w:rPr>
              <w:t>(Events beyond living memory that are significant nationally or globally)</w:t>
            </w:r>
          </w:p>
        </w:tc>
        <w:tc>
          <w:tcPr>
            <w:tcW w:w="4395" w:type="dxa"/>
            <w:gridSpan w:val="2"/>
            <w:vMerge w:val="restart"/>
            <w:shd w:val="clear" w:color="auto" w:fill="auto"/>
            <w:tcMar>
              <w:top w:w="100" w:type="dxa"/>
              <w:left w:w="100" w:type="dxa"/>
              <w:bottom w:w="100" w:type="dxa"/>
              <w:right w:w="100" w:type="dxa"/>
            </w:tcMar>
          </w:tcPr>
          <w:p w14:paraId="079B7CA1" w14:textId="6B95DAC3" w:rsidR="004C25EE" w:rsidRPr="006D3CB2" w:rsidRDefault="004C25EE" w:rsidP="00EE3318">
            <w:pPr>
              <w:widowControl w:val="0"/>
              <w:spacing w:line="240" w:lineRule="auto"/>
              <w:rPr>
                <w:rFonts w:ascii="Garamond" w:hAnsi="Garamond" w:cs="Calibri"/>
                <w:b/>
                <w:color w:val="00B050"/>
                <w:sz w:val="24"/>
                <w:szCs w:val="24"/>
              </w:rPr>
            </w:pPr>
            <w:r w:rsidRPr="006D3CB2">
              <w:rPr>
                <w:rFonts w:ascii="Garamond" w:hAnsi="Garamond" w:cs="Calibri"/>
                <w:b/>
                <w:color w:val="00B050"/>
                <w:sz w:val="24"/>
                <w:szCs w:val="24"/>
              </w:rPr>
              <w:t xml:space="preserve">The </w:t>
            </w:r>
            <w:r w:rsidR="00EF7876">
              <w:rPr>
                <w:rFonts w:ascii="Garamond" w:hAnsi="Garamond" w:cs="Calibri"/>
                <w:b/>
                <w:color w:val="00B050"/>
                <w:sz w:val="24"/>
                <w:szCs w:val="24"/>
              </w:rPr>
              <w:t>Vikings and Saxons</w:t>
            </w:r>
          </w:p>
          <w:p w14:paraId="64D4CE7C" w14:textId="7BB75947" w:rsidR="004C25EE" w:rsidRPr="006D3CB2" w:rsidRDefault="004C25EE" w:rsidP="00EE3318">
            <w:pPr>
              <w:widowControl w:val="0"/>
              <w:spacing w:line="240" w:lineRule="auto"/>
              <w:rPr>
                <w:rFonts w:ascii="Calibri" w:hAnsi="Calibri" w:cs="Calibri"/>
              </w:rPr>
            </w:pPr>
            <w:r w:rsidRPr="006D3CB2">
              <w:rPr>
                <w:rFonts w:ascii="Garamond" w:hAnsi="Garamond" w:cs="Calibri"/>
                <w:color w:val="00B050"/>
                <w:sz w:val="24"/>
                <w:szCs w:val="24"/>
              </w:rPr>
              <w:t>(Know about the Viking and Anglo-Saxon struggle for the Kingdom of England to the time of Edward the Confessor)</w:t>
            </w:r>
          </w:p>
        </w:tc>
        <w:tc>
          <w:tcPr>
            <w:tcW w:w="5528" w:type="dxa"/>
            <w:shd w:val="clear" w:color="auto" w:fill="auto"/>
            <w:tcMar>
              <w:top w:w="100" w:type="dxa"/>
              <w:left w:w="100" w:type="dxa"/>
              <w:bottom w:w="100" w:type="dxa"/>
              <w:right w:w="100" w:type="dxa"/>
            </w:tcMar>
          </w:tcPr>
          <w:p w14:paraId="3D3429DF" w14:textId="77777777" w:rsidR="004C25EE" w:rsidRDefault="004C25EE" w:rsidP="008E5F6A">
            <w:pPr>
              <w:widowControl w:val="0"/>
              <w:spacing w:line="240" w:lineRule="auto"/>
              <w:rPr>
                <w:rFonts w:ascii="Garamond" w:hAnsi="Garamond" w:cs="Calibri"/>
                <w:color w:val="00B050"/>
                <w:sz w:val="24"/>
                <w:szCs w:val="24"/>
              </w:rPr>
            </w:pPr>
            <w:r>
              <w:rPr>
                <w:rFonts w:ascii="Garamond" w:hAnsi="Garamond" w:cs="Calibri"/>
                <w:b/>
                <w:color w:val="00B050"/>
                <w:sz w:val="24"/>
                <w:szCs w:val="24"/>
              </w:rPr>
              <w:t>WW2 - Battle of Britain/The Blitz</w:t>
            </w:r>
            <w:r w:rsidRPr="008E5F6A">
              <w:rPr>
                <w:rFonts w:ascii="Garamond" w:hAnsi="Garamond" w:cs="Calibri"/>
                <w:color w:val="00B050"/>
                <w:sz w:val="24"/>
                <w:szCs w:val="24"/>
              </w:rPr>
              <w:t xml:space="preserve"> </w:t>
            </w:r>
          </w:p>
          <w:p w14:paraId="78FD3D90" w14:textId="442DEC39" w:rsidR="007777E5" w:rsidRPr="00291986" w:rsidRDefault="007777E5" w:rsidP="007777E5">
            <w:pPr>
              <w:widowControl w:val="0"/>
              <w:spacing w:line="240" w:lineRule="auto"/>
              <w:rPr>
                <w:rFonts w:ascii="Garamond" w:hAnsi="Garamond" w:cs="Calibri"/>
                <w:color w:val="00B050"/>
                <w:sz w:val="24"/>
                <w:szCs w:val="24"/>
              </w:rPr>
            </w:pPr>
            <w:r>
              <w:rPr>
                <w:rFonts w:ascii="Garamond" w:hAnsi="Garamond" w:cs="Calibri"/>
                <w:color w:val="00B050"/>
                <w:sz w:val="24"/>
                <w:szCs w:val="24"/>
              </w:rPr>
              <w:t>(</w:t>
            </w:r>
            <w:r w:rsidRPr="00291986">
              <w:rPr>
                <w:rFonts w:ascii="Garamond" w:hAnsi="Garamond" w:cs="Calibri"/>
                <w:color w:val="00B050"/>
                <w:sz w:val="24"/>
                <w:szCs w:val="24"/>
              </w:rPr>
              <w:t>Study of an aspect or theme in British history that extends pupils’ chronological knowledge beyond 1066</w:t>
            </w:r>
            <w:r>
              <w:rPr>
                <w:rFonts w:ascii="Garamond" w:hAnsi="Garamond" w:cs="Calibri"/>
                <w:color w:val="00B050"/>
                <w:sz w:val="24"/>
                <w:szCs w:val="24"/>
              </w:rPr>
              <w:t xml:space="preserve"> – Significant turning point in British history)</w:t>
            </w:r>
          </w:p>
          <w:p w14:paraId="53026986" w14:textId="7E121AC9" w:rsidR="004C25EE" w:rsidRPr="00874CD3" w:rsidRDefault="004C25EE" w:rsidP="006D3CB2">
            <w:pPr>
              <w:widowControl w:val="0"/>
              <w:spacing w:line="240" w:lineRule="auto"/>
              <w:rPr>
                <w:rFonts w:ascii="Calibri" w:hAnsi="Calibri" w:cs="Calibri"/>
                <w:b/>
                <w:sz w:val="20"/>
                <w:szCs w:val="20"/>
              </w:rPr>
            </w:pPr>
          </w:p>
        </w:tc>
      </w:tr>
      <w:tr w:rsidR="004C25EE" w:rsidRPr="000556AF" w14:paraId="5D312165" w14:textId="77777777" w:rsidTr="00F01B03">
        <w:trPr>
          <w:cantSplit/>
          <w:trHeight w:val="2187"/>
        </w:trPr>
        <w:tc>
          <w:tcPr>
            <w:tcW w:w="5575" w:type="dxa"/>
            <w:vMerge/>
            <w:tcBorders>
              <w:left w:val="single" w:sz="4" w:space="0" w:color="auto"/>
            </w:tcBorders>
            <w:shd w:val="clear" w:color="auto" w:fill="FFFFFF" w:themeFill="background1"/>
            <w:tcMar>
              <w:top w:w="100" w:type="dxa"/>
              <w:left w:w="100" w:type="dxa"/>
              <w:bottom w:w="100" w:type="dxa"/>
              <w:right w:w="100" w:type="dxa"/>
            </w:tcMar>
          </w:tcPr>
          <w:p w14:paraId="6DB04F7B" w14:textId="77777777" w:rsidR="004C25EE" w:rsidRPr="00874CD3" w:rsidRDefault="004C25EE" w:rsidP="00EE3318">
            <w:pPr>
              <w:widowControl w:val="0"/>
              <w:spacing w:line="240" w:lineRule="auto"/>
              <w:rPr>
                <w:rFonts w:ascii="Calibri" w:hAnsi="Calibri" w:cs="Calibri"/>
                <w:b/>
                <w:sz w:val="20"/>
                <w:szCs w:val="20"/>
              </w:rPr>
            </w:pPr>
          </w:p>
        </w:tc>
        <w:tc>
          <w:tcPr>
            <w:tcW w:w="4395" w:type="dxa"/>
            <w:gridSpan w:val="2"/>
            <w:vMerge/>
            <w:shd w:val="clear" w:color="auto" w:fill="auto"/>
            <w:tcMar>
              <w:top w:w="100" w:type="dxa"/>
              <w:left w:w="100" w:type="dxa"/>
              <w:bottom w:w="100" w:type="dxa"/>
              <w:right w:w="100" w:type="dxa"/>
            </w:tcMar>
          </w:tcPr>
          <w:p w14:paraId="1FE604D1" w14:textId="68AFE458" w:rsidR="004C25EE" w:rsidRPr="008E3496" w:rsidRDefault="004C25EE" w:rsidP="00EE3318">
            <w:pPr>
              <w:widowControl w:val="0"/>
              <w:spacing w:line="240" w:lineRule="auto"/>
              <w:rPr>
                <w:rFonts w:ascii="Calibri" w:hAnsi="Calibri" w:cs="Calibri"/>
                <w:sz w:val="20"/>
                <w:szCs w:val="20"/>
              </w:rPr>
            </w:pPr>
          </w:p>
        </w:tc>
        <w:tc>
          <w:tcPr>
            <w:tcW w:w="5528" w:type="dxa"/>
            <w:shd w:val="clear" w:color="auto" w:fill="auto"/>
            <w:tcMar>
              <w:top w:w="100" w:type="dxa"/>
              <w:left w:w="100" w:type="dxa"/>
              <w:bottom w:w="100" w:type="dxa"/>
              <w:right w:w="100" w:type="dxa"/>
            </w:tcMar>
          </w:tcPr>
          <w:p w14:paraId="559163DA" w14:textId="5A203A18" w:rsidR="004C25EE" w:rsidRPr="00463DA1" w:rsidRDefault="004C25EE" w:rsidP="006A1849">
            <w:pPr>
              <w:widowControl w:val="0"/>
              <w:spacing w:line="240" w:lineRule="auto"/>
              <w:rPr>
                <w:rFonts w:ascii="Garamond" w:hAnsi="Garamond" w:cs="Calibri"/>
                <w:b/>
                <w:color w:val="00B050"/>
                <w:sz w:val="24"/>
                <w:szCs w:val="24"/>
              </w:rPr>
            </w:pPr>
            <w:r w:rsidRPr="00463DA1">
              <w:rPr>
                <w:rFonts w:ascii="Garamond" w:hAnsi="Garamond" w:cs="Calibri"/>
                <w:b/>
                <w:color w:val="00B050"/>
                <w:sz w:val="24"/>
                <w:szCs w:val="24"/>
              </w:rPr>
              <w:t xml:space="preserve">Changes in attitude over time – animals and animal cruelty </w:t>
            </w:r>
          </w:p>
          <w:p w14:paraId="45B085DA" w14:textId="03A8D248" w:rsidR="004C25EE" w:rsidRPr="00291986" w:rsidRDefault="004C25EE" w:rsidP="006A1849">
            <w:pPr>
              <w:widowControl w:val="0"/>
              <w:spacing w:line="240" w:lineRule="auto"/>
              <w:rPr>
                <w:rFonts w:ascii="Garamond" w:hAnsi="Garamond" w:cs="Calibri"/>
                <w:color w:val="00B050"/>
                <w:sz w:val="24"/>
                <w:szCs w:val="24"/>
              </w:rPr>
            </w:pPr>
            <w:r w:rsidRPr="00291986">
              <w:rPr>
                <w:rFonts w:ascii="Garamond" w:hAnsi="Garamond" w:cs="Calibri"/>
                <w:color w:val="00B050"/>
                <w:sz w:val="24"/>
                <w:szCs w:val="24"/>
              </w:rPr>
              <w:t>Study of an aspect or theme in British history that extends pupils’ chronological knowledge beyond 1066</w:t>
            </w:r>
            <w:r w:rsidR="008B6F14">
              <w:rPr>
                <w:rFonts w:ascii="Garamond" w:hAnsi="Garamond" w:cs="Calibri"/>
                <w:color w:val="00B050"/>
                <w:sz w:val="24"/>
                <w:szCs w:val="24"/>
              </w:rPr>
              <w:t xml:space="preserve"> – Changes in an aspect of social history</w:t>
            </w:r>
          </w:p>
          <w:p w14:paraId="56538564" w14:textId="4B20760E" w:rsidR="004C25EE" w:rsidRPr="004C25EE" w:rsidRDefault="004C25EE" w:rsidP="00EE3318">
            <w:pPr>
              <w:widowControl w:val="0"/>
              <w:spacing w:line="240" w:lineRule="auto"/>
              <w:rPr>
                <w:rFonts w:ascii="Garamond" w:hAnsi="Garamond" w:cs="Calibri"/>
                <w:color w:val="00B050"/>
                <w:sz w:val="24"/>
                <w:szCs w:val="24"/>
              </w:rPr>
            </w:pPr>
            <w:r w:rsidRPr="004169E4">
              <w:rPr>
                <w:rFonts w:ascii="Garamond" w:hAnsi="Garamond" w:cs="Calibri"/>
                <w:color w:val="00B050"/>
                <w:sz w:val="24"/>
                <w:szCs w:val="24"/>
              </w:rPr>
              <w:t>(d</w:t>
            </w:r>
            <w:r w:rsidR="00D4346F" w:rsidRPr="004169E4">
              <w:rPr>
                <w:rFonts w:ascii="Garamond" w:hAnsi="Garamond" w:cs="Calibri"/>
                <w:color w:val="00B050"/>
                <w:sz w:val="24"/>
                <w:szCs w:val="24"/>
              </w:rPr>
              <w:t>oes include some aspects of pre-</w:t>
            </w:r>
            <w:r w:rsidRPr="004169E4">
              <w:rPr>
                <w:rFonts w:ascii="Garamond" w:hAnsi="Garamond" w:cs="Calibri"/>
                <w:color w:val="00B050"/>
                <w:sz w:val="24"/>
                <w:szCs w:val="24"/>
              </w:rPr>
              <w:t>1066 linking to areas previously taught – Benin and Romans)</w:t>
            </w:r>
          </w:p>
        </w:tc>
      </w:tr>
      <w:tr w:rsidR="004C25EE" w:rsidRPr="000556AF" w14:paraId="1271D5AC" w14:textId="77777777" w:rsidTr="00F01B03">
        <w:trPr>
          <w:cantSplit/>
          <w:trHeight w:val="1430"/>
        </w:trPr>
        <w:tc>
          <w:tcPr>
            <w:tcW w:w="5575" w:type="dxa"/>
            <w:shd w:val="clear" w:color="auto" w:fill="FFFFFF" w:themeFill="background1"/>
            <w:tcMar>
              <w:top w:w="100" w:type="dxa"/>
              <w:left w:w="100" w:type="dxa"/>
              <w:bottom w:w="100" w:type="dxa"/>
              <w:right w:w="100" w:type="dxa"/>
            </w:tcMar>
          </w:tcPr>
          <w:p w14:paraId="2E182C76" w14:textId="77777777" w:rsidR="00833373" w:rsidRDefault="00833373" w:rsidP="00833373">
            <w:pPr>
              <w:widowControl w:val="0"/>
              <w:spacing w:line="240" w:lineRule="auto"/>
              <w:rPr>
                <w:rFonts w:ascii="Garamond" w:hAnsi="Garamond" w:cs="Calibri"/>
                <w:color w:val="4F81BD" w:themeColor="accent1"/>
                <w:sz w:val="24"/>
                <w:szCs w:val="24"/>
              </w:rPr>
            </w:pPr>
            <w:r w:rsidRPr="00833373">
              <w:rPr>
                <w:rFonts w:ascii="Garamond" w:hAnsi="Garamond" w:cs="Calibri"/>
                <w:b/>
                <w:color w:val="4F81BD" w:themeColor="accent1"/>
                <w:sz w:val="24"/>
                <w:szCs w:val="24"/>
              </w:rPr>
              <w:t>How have seaside holidays changed?</w:t>
            </w:r>
            <w:r w:rsidRPr="00833373">
              <w:rPr>
                <w:rFonts w:ascii="Garamond" w:hAnsi="Garamond" w:cs="Calibri"/>
                <w:color w:val="4F81BD" w:themeColor="accent1"/>
                <w:sz w:val="24"/>
                <w:szCs w:val="24"/>
              </w:rPr>
              <w:t xml:space="preserve"> </w:t>
            </w:r>
          </w:p>
          <w:p w14:paraId="436817B9" w14:textId="706E6409" w:rsidR="00833373" w:rsidRDefault="00833373" w:rsidP="00833373">
            <w:pPr>
              <w:widowControl w:val="0"/>
              <w:spacing w:line="240" w:lineRule="auto"/>
              <w:rPr>
                <w:rFonts w:ascii="Garamond" w:hAnsi="Garamond" w:cs="Calibri"/>
                <w:color w:val="4F81BD" w:themeColor="accent1"/>
                <w:sz w:val="24"/>
                <w:szCs w:val="24"/>
              </w:rPr>
            </w:pPr>
            <w:r w:rsidRPr="00833373">
              <w:rPr>
                <w:rFonts w:ascii="Garamond" w:hAnsi="Garamond" w:cs="Calibri"/>
                <w:color w:val="4F81BD" w:themeColor="accent1"/>
                <w:sz w:val="24"/>
                <w:szCs w:val="24"/>
              </w:rPr>
              <w:t>(</w:t>
            </w:r>
            <w:r>
              <w:rPr>
                <w:rFonts w:ascii="Garamond" w:hAnsi="Garamond" w:cs="Calibri"/>
                <w:color w:val="4F81BD" w:themeColor="accent1"/>
                <w:sz w:val="24"/>
                <w:szCs w:val="24"/>
              </w:rPr>
              <w:t xml:space="preserve">Know about changes </w:t>
            </w:r>
            <w:r w:rsidRPr="00833373">
              <w:rPr>
                <w:rFonts w:ascii="Garamond" w:hAnsi="Garamond" w:cs="Calibri"/>
                <w:color w:val="4F81BD" w:themeColor="accent1"/>
                <w:sz w:val="24"/>
                <w:szCs w:val="24"/>
              </w:rPr>
              <w:t>within living memory)</w:t>
            </w:r>
          </w:p>
          <w:p w14:paraId="56009DD0" w14:textId="1BFD4C74" w:rsidR="00833373" w:rsidRPr="00833373" w:rsidRDefault="00833373" w:rsidP="00833373">
            <w:pPr>
              <w:widowControl w:val="0"/>
              <w:spacing w:line="240" w:lineRule="auto"/>
              <w:rPr>
                <w:rFonts w:ascii="Garamond" w:hAnsi="Garamond" w:cs="Calibri"/>
                <w:color w:val="4F81BD" w:themeColor="accent1"/>
                <w:sz w:val="24"/>
                <w:szCs w:val="24"/>
              </w:rPr>
            </w:pPr>
            <w:r>
              <w:rPr>
                <w:rFonts w:ascii="Garamond" w:hAnsi="Garamond" w:cs="Calibri"/>
                <w:color w:val="4F81BD" w:themeColor="accent1"/>
                <w:sz w:val="24"/>
                <w:szCs w:val="24"/>
              </w:rPr>
              <w:t>(Know about changes beyond living memory)</w:t>
            </w:r>
          </w:p>
          <w:p w14:paraId="38239938" w14:textId="77777777" w:rsidR="004C25EE" w:rsidRPr="00874CD3" w:rsidRDefault="004C25EE" w:rsidP="00833373">
            <w:pPr>
              <w:widowControl w:val="0"/>
              <w:spacing w:line="240" w:lineRule="auto"/>
              <w:rPr>
                <w:rFonts w:ascii="Calibri" w:hAnsi="Calibri" w:cs="Calibri"/>
                <w:b/>
                <w:sz w:val="20"/>
                <w:szCs w:val="20"/>
              </w:rPr>
            </w:pPr>
          </w:p>
        </w:tc>
        <w:tc>
          <w:tcPr>
            <w:tcW w:w="4395" w:type="dxa"/>
            <w:gridSpan w:val="2"/>
            <w:shd w:val="clear" w:color="auto" w:fill="auto"/>
            <w:tcMar>
              <w:top w:w="100" w:type="dxa"/>
              <w:left w:w="100" w:type="dxa"/>
              <w:bottom w:w="100" w:type="dxa"/>
              <w:right w:w="100" w:type="dxa"/>
            </w:tcMar>
          </w:tcPr>
          <w:p w14:paraId="48B9BBF4" w14:textId="49AFD411" w:rsidR="004C25EE" w:rsidRPr="00874CD3" w:rsidRDefault="004C25EE" w:rsidP="00833373">
            <w:pPr>
              <w:widowControl w:val="0"/>
              <w:spacing w:line="240" w:lineRule="auto"/>
              <w:rPr>
                <w:rFonts w:ascii="Calibri" w:hAnsi="Calibri" w:cs="Calibri"/>
                <w:b/>
                <w:sz w:val="20"/>
                <w:szCs w:val="20"/>
              </w:rPr>
            </w:pPr>
          </w:p>
        </w:tc>
        <w:tc>
          <w:tcPr>
            <w:tcW w:w="5528" w:type="dxa"/>
            <w:vMerge w:val="restart"/>
            <w:shd w:val="clear" w:color="auto" w:fill="auto"/>
            <w:tcMar>
              <w:top w:w="100" w:type="dxa"/>
              <w:left w:w="100" w:type="dxa"/>
              <w:bottom w:w="100" w:type="dxa"/>
              <w:right w:w="100" w:type="dxa"/>
            </w:tcMar>
          </w:tcPr>
          <w:p w14:paraId="186C6BD7" w14:textId="2FF0AC12" w:rsidR="004C25EE" w:rsidRDefault="004C25EE" w:rsidP="00EE3318">
            <w:pPr>
              <w:widowControl w:val="0"/>
              <w:spacing w:line="240" w:lineRule="auto"/>
              <w:rPr>
                <w:rFonts w:ascii="Calibri" w:hAnsi="Calibri" w:cs="Calibri"/>
                <w:b/>
                <w:sz w:val="20"/>
                <w:szCs w:val="20"/>
              </w:rPr>
            </w:pPr>
          </w:p>
        </w:tc>
      </w:tr>
      <w:tr w:rsidR="00EE3318" w:rsidRPr="000556AF" w14:paraId="027CFA6C" w14:textId="77777777" w:rsidTr="00F01B03">
        <w:trPr>
          <w:trHeight w:val="825"/>
        </w:trPr>
        <w:tc>
          <w:tcPr>
            <w:tcW w:w="5575" w:type="dxa"/>
            <w:tcMar>
              <w:top w:w="100" w:type="dxa"/>
              <w:left w:w="100" w:type="dxa"/>
              <w:bottom w:w="100" w:type="dxa"/>
              <w:right w:w="100" w:type="dxa"/>
            </w:tcMar>
          </w:tcPr>
          <w:p w14:paraId="345AD724" w14:textId="32055239" w:rsidR="00EE3318" w:rsidRPr="008D2EA4" w:rsidRDefault="00833373" w:rsidP="004C54AC">
            <w:pPr>
              <w:widowControl w:val="0"/>
              <w:spacing w:line="240" w:lineRule="auto"/>
              <w:rPr>
                <w:rFonts w:ascii="Garamond" w:hAnsi="Garamond" w:cs="Calibri"/>
                <w:color w:val="00B050"/>
                <w:sz w:val="24"/>
                <w:szCs w:val="24"/>
              </w:rPr>
            </w:pPr>
            <w:r w:rsidRPr="00833373">
              <w:rPr>
                <w:rFonts w:ascii="Garamond" w:hAnsi="Garamond" w:cs="Calibri"/>
                <w:b/>
                <w:color w:val="00B050"/>
                <w:sz w:val="24"/>
                <w:szCs w:val="24"/>
              </w:rPr>
              <w:lastRenderedPageBreak/>
              <w:t>The Great Fire of London</w:t>
            </w:r>
            <w:r w:rsidRPr="002F24CE">
              <w:rPr>
                <w:rFonts w:ascii="Garamond" w:hAnsi="Garamond" w:cs="Calibri"/>
                <w:color w:val="00B050"/>
                <w:sz w:val="24"/>
                <w:szCs w:val="24"/>
              </w:rPr>
              <w:t xml:space="preserve"> (</w:t>
            </w:r>
            <w:r>
              <w:rPr>
                <w:rFonts w:ascii="Garamond" w:hAnsi="Garamond" w:cs="Calibri"/>
                <w:color w:val="00B050"/>
                <w:sz w:val="24"/>
                <w:szCs w:val="24"/>
              </w:rPr>
              <w:t>Know about e</w:t>
            </w:r>
            <w:r w:rsidRPr="002F24CE">
              <w:rPr>
                <w:rFonts w:ascii="Garamond" w:hAnsi="Garamond" w:cs="Calibri"/>
                <w:color w:val="00B050"/>
                <w:sz w:val="24"/>
                <w:szCs w:val="24"/>
              </w:rPr>
              <w:t xml:space="preserve">vents </w:t>
            </w:r>
            <w:r>
              <w:rPr>
                <w:rFonts w:ascii="Garamond" w:hAnsi="Garamond" w:cs="Calibri"/>
                <w:color w:val="00B050"/>
                <w:sz w:val="24"/>
                <w:szCs w:val="24"/>
              </w:rPr>
              <w:t>beyond living memory that are significant nationally or globally)</w:t>
            </w:r>
          </w:p>
        </w:tc>
        <w:tc>
          <w:tcPr>
            <w:tcW w:w="4395" w:type="dxa"/>
            <w:gridSpan w:val="2"/>
            <w:vMerge w:val="restart"/>
            <w:tcMar>
              <w:top w:w="100" w:type="dxa"/>
              <w:left w:w="100" w:type="dxa"/>
              <w:bottom w:w="100" w:type="dxa"/>
              <w:right w:w="100" w:type="dxa"/>
            </w:tcMar>
          </w:tcPr>
          <w:p w14:paraId="1BFC3F2C" w14:textId="77777777" w:rsidR="00EE3318" w:rsidRDefault="00EE3318" w:rsidP="00EE3318">
            <w:pPr>
              <w:widowControl w:val="0"/>
              <w:spacing w:line="240" w:lineRule="auto"/>
              <w:rPr>
                <w:rFonts w:ascii="Calibri" w:hAnsi="Calibri" w:cs="Calibri"/>
                <w:b/>
                <w:sz w:val="20"/>
                <w:szCs w:val="20"/>
              </w:rPr>
            </w:pPr>
          </w:p>
        </w:tc>
        <w:tc>
          <w:tcPr>
            <w:tcW w:w="5528" w:type="dxa"/>
            <w:vMerge/>
            <w:shd w:val="clear" w:color="auto" w:fill="FFFFFF" w:themeFill="background1"/>
            <w:tcMar>
              <w:top w:w="100" w:type="dxa"/>
              <w:left w:w="100" w:type="dxa"/>
              <w:bottom w:w="100" w:type="dxa"/>
              <w:right w:w="100" w:type="dxa"/>
            </w:tcMar>
          </w:tcPr>
          <w:p w14:paraId="37102C37" w14:textId="77777777" w:rsidR="00EE3318" w:rsidRPr="00874CD3" w:rsidRDefault="00EE3318" w:rsidP="00EE3318">
            <w:pPr>
              <w:widowControl w:val="0"/>
              <w:spacing w:line="240" w:lineRule="auto"/>
              <w:rPr>
                <w:rFonts w:ascii="Calibri" w:hAnsi="Calibri" w:cs="Calibri"/>
                <w:sz w:val="20"/>
                <w:szCs w:val="20"/>
              </w:rPr>
            </w:pPr>
          </w:p>
        </w:tc>
      </w:tr>
      <w:tr w:rsidR="00F01B03" w:rsidRPr="000556AF" w14:paraId="13F349D5" w14:textId="77777777" w:rsidTr="00F01B03">
        <w:trPr>
          <w:trHeight w:val="1670"/>
        </w:trPr>
        <w:tc>
          <w:tcPr>
            <w:tcW w:w="5575" w:type="dxa"/>
            <w:shd w:val="clear" w:color="auto" w:fill="auto"/>
            <w:tcMar>
              <w:top w:w="100" w:type="dxa"/>
              <w:left w:w="100" w:type="dxa"/>
              <w:bottom w:w="100" w:type="dxa"/>
              <w:right w:w="100" w:type="dxa"/>
            </w:tcMar>
          </w:tcPr>
          <w:p w14:paraId="4ED13253" w14:textId="77777777" w:rsidR="00F01B03" w:rsidRPr="004C25EE" w:rsidRDefault="00F01B03" w:rsidP="00833373">
            <w:pPr>
              <w:rPr>
                <w:rFonts w:ascii="Garamond" w:hAnsi="Garamond"/>
                <w:b/>
                <w:color w:val="00B050"/>
                <w:sz w:val="24"/>
                <w:szCs w:val="24"/>
              </w:rPr>
            </w:pPr>
            <w:r w:rsidRPr="004C25EE">
              <w:rPr>
                <w:rFonts w:ascii="Garamond" w:hAnsi="Garamond"/>
                <w:b/>
                <w:color w:val="00B050"/>
                <w:sz w:val="24"/>
                <w:szCs w:val="24"/>
              </w:rPr>
              <w:lastRenderedPageBreak/>
              <w:t>Why do we remember Florence Nightingale and Mary Seacole?</w:t>
            </w:r>
          </w:p>
          <w:p w14:paraId="461E390F" w14:textId="4B4FB5DF" w:rsidR="00F01B03" w:rsidRPr="009F303A" w:rsidRDefault="00F01B03" w:rsidP="00EE3318">
            <w:pPr>
              <w:widowControl w:val="0"/>
              <w:spacing w:line="240" w:lineRule="auto"/>
              <w:rPr>
                <w:rFonts w:ascii="Garamond" w:hAnsi="Garamond" w:cs="Calibri"/>
                <w:color w:val="00B050"/>
                <w:sz w:val="24"/>
                <w:szCs w:val="24"/>
              </w:rPr>
            </w:pPr>
            <w:r w:rsidRPr="004C25EE">
              <w:rPr>
                <w:rFonts w:ascii="Garamond" w:hAnsi="Garamond" w:cs="Calibri"/>
                <w:color w:val="00B050"/>
                <w:sz w:val="24"/>
                <w:szCs w:val="24"/>
              </w:rPr>
              <w:t>(Know about the lives of significant individuals in the past who have contributed to national and international achievements. Some should be used to compare aspects of life in different periods.)</w:t>
            </w:r>
          </w:p>
        </w:tc>
        <w:tc>
          <w:tcPr>
            <w:tcW w:w="4395" w:type="dxa"/>
            <w:gridSpan w:val="2"/>
            <w:vMerge/>
            <w:tcMar>
              <w:top w:w="100" w:type="dxa"/>
              <w:left w:w="100" w:type="dxa"/>
              <w:bottom w:w="100" w:type="dxa"/>
              <w:right w:w="100" w:type="dxa"/>
            </w:tcMar>
          </w:tcPr>
          <w:p w14:paraId="107FDF86" w14:textId="77777777" w:rsidR="00F01B03" w:rsidRDefault="00F01B03" w:rsidP="00EE3318">
            <w:pPr>
              <w:widowControl w:val="0"/>
              <w:spacing w:line="240" w:lineRule="auto"/>
              <w:rPr>
                <w:rFonts w:ascii="Calibri" w:hAnsi="Calibri" w:cs="Calibri"/>
                <w:b/>
                <w:sz w:val="20"/>
                <w:szCs w:val="20"/>
              </w:rPr>
            </w:pPr>
          </w:p>
        </w:tc>
        <w:tc>
          <w:tcPr>
            <w:tcW w:w="5528" w:type="dxa"/>
            <w:vMerge/>
            <w:shd w:val="clear" w:color="auto" w:fill="FFFFFF" w:themeFill="background1"/>
            <w:tcMar>
              <w:top w:w="100" w:type="dxa"/>
              <w:left w:w="100" w:type="dxa"/>
              <w:bottom w:w="100" w:type="dxa"/>
              <w:right w:w="100" w:type="dxa"/>
            </w:tcMar>
          </w:tcPr>
          <w:p w14:paraId="14AEE0D0" w14:textId="77777777" w:rsidR="00F01B03" w:rsidRPr="00874CD3" w:rsidRDefault="00F01B03" w:rsidP="00EE3318">
            <w:pPr>
              <w:widowControl w:val="0"/>
              <w:spacing w:line="240" w:lineRule="auto"/>
              <w:rPr>
                <w:rFonts w:ascii="Calibri" w:hAnsi="Calibri" w:cs="Calibri"/>
                <w:sz w:val="20"/>
                <w:szCs w:val="20"/>
              </w:rPr>
            </w:pPr>
          </w:p>
        </w:tc>
      </w:tr>
      <w:tr w:rsidR="00EE3318" w:rsidRPr="000556AF" w14:paraId="1C0BA0E6" w14:textId="77777777" w:rsidTr="00FA7AEB">
        <w:tc>
          <w:tcPr>
            <w:tcW w:w="15498" w:type="dxa"/>
            <w:gridSpan w:val="4"/>
            <w:shd w:val="clear" w:color="auto" w:fill="C6D9F1" w:themeFill="text2" w:themeFillTint="33"/>
            <w:vAlign w:val="center"/>
          </w:tcPr>
          <w:p w14:paraId="07672BE5" w14:textId="77777777" w:rsidR="00EE3318" w:rsidRPr="00FA7AEB" w:rsidRDefault="00EE3318" w:rsidP="00EE3318">
            <w:pPr>
              <w:widowControl w:val="0"/>
              <w:spacing w:line="240" w:lineRule="auto"/>
              <w:jc w:val="center"/>
              <w:rPr>
                <w:rFonts w:ascii="Garamond" w:hAnsi="Garamond"/>
                <w:b/>
                <w:sz w:val="28"/>
                <w:szCs w:val="28"/>
              </w:rPr>
            </w:pPr>
            <w:r w:rsidRPr="00FA7AEB">
              <w:rPr>
                <w:rFonts w:ascii="Garamond" w:hAnsi="Garamond"/>
                <w:b/>
                <w:sz w:val="28"/>
                <w:szCs w:val="28"/>
              </w:rPr>
              <w:t>Knowledge and understanding of wider world history</w:t>
            </w:r>
          </w:p>
        </w:tc>
      </w:tr>
      <w:tr w:rsidR="00EE3318" w:rsidRPr="000556AF" w14:paraId="20EEB17C" w14:textId="77777777" w:rsidTr="00970B1D">
        <w:tc>
          <w:tcPr>
            <w:tcW w:w="5575" w:type="dxa"/>
            <w:shd w:val="clear" w:color="auto" w:fill="auto"/>
            <w:tcMar>
              <w:top w:w="100" w:type="dxa"/>
              <w:left w:w="100" w:type="dxa"/>
              <w:bottom w:w="100" w:type="dxa"/>
              <w:right w:w="100" w:type="dxa"/>
            </w:tcMar>
            <w:vAlign w:val="center"/>
          </w:tcPr>
          <w:p w14:paraId="7634FF2E" w14:textId="65CC274C" w:rsidR="00EE3318" w:rsidRPr="00DE19B1" w:rsidRDefault="00EE3318" w:rsidP="00EE3318">
            <w:pPr>
              <w:widowControl w:val="0"/>
              <w:spacing w:line="240" w:lineRule="auto"/>
              <w:jc w:val="center"/>
              <w:rPr>
                <w:rFonts w:ascii="Garamond" w:hAnsi="Garamond"/>
                <w:b/>
                <w:sz w:val="24"/>
                <w:szCs w:val="24"/>
              </w:rPr>
            </w:pPr>
            <w:r w:rsidRPr="00DE19B1">
              <w:rPr>
                <w:rFonts w:ascii="Garamond" w:hAnsi="Garamond"/>
                <w:b/>
                <w:sz w:val="24"/>
                <w:szCs w:val="24"/>
              </w:rPr>
              <w:t>Year 1/2</w:t>
            </w:r>
          </w:p>
        </w:tc>
        <w:tc>
          <w:tcPr>
            <w:tcW w:w="4348" w:type="dxa"/>
            <w:shd w:val="clear" w:color="auto" w:fill="auto"/>
            <w:tcMar>
              <w:top w:w="100" w:type="dxa"/>
              <w:left w:w="100" w:type="dxa"/>
              <w:bottom w:w="100" w:type="dxa"/>
              <w:right w:w="100" w:type="dxa"/>
            </w:tcMar>
            <w:vAlign w:val="center"/>
          </w:tcPr>
          <w:p w14:paraId="6A2E6E6F" w14:textId="431E51C1" w:rsidR="00EE3318" w:rsidRPr="00DE19B1" w:rsidRDefault="00EE3318" w:rsidP="00EE3318">
            <w:pPr>
              <w:widowControl w:val="0"/>
              <w:spacing w:line="240" w:lineRule="auto"/>
              <w:jc w:val="center"/>
              <w:rPr>
                <w:rFonts w:ascii="Garamond" w:hAnsi="Garamond"/>
                <w:b/>
                <w:sz w:val="24"/>
                <w:szCs w:val="24"/>
              </w:rPr>
            </w:pPr>
            <w:r w:rsidRPr="00DE19B1">
              <w:rPr>
                <w:rFonts w:ascii="Garamond" w:hAnsi="Garamond"/>
                <w:b/>
                <w:sz w:val="24"/>
                <w:szCs w:val="24"/>
              </w:rPr>
              <w:t>Year 3/4</w:t>
            </w:r>
          </w:p>
        </w:tc>
        <w:tc>
          <w:tcPr>
            <w:tcW w:w="5575" w:type="dxa"/>
            <w:gridSpan w:val="2"/>
            <w:shd w:val="clear" w:color="auto" w:fill="auto"/>
            <w:tcMar>
              <w:top w:w="100" w:type="dxa"/>
              <w:left w:w="100" w:type="dxa"/>
              <w:bottom w:w="100" w:type="dxa"/>
              <w:right w:w="100" w:type="dxa"/>
            </w:tcMar>
            <w:vAlign w:val="center"/>
          </w:tcPr>
          <w:p w14:paraId="124F99BA" w14:textId="2A34739D" w:rsidR="00EE3318" w:rsidRPr="00DE19B1" w:rsidRDefault="00EE3318" w:rsidP="00EE3318">
            <w:pPr>
              <w:widowControl w:val="0"/>
              <w:spacing w:line="240" w:lineRule="auto"/>
              <w:jc w:val="center"/>
              <w:rPr>
                <w:rFonts w:ascii="Garamond" w:hAnsi="Garamond"/>
                <w:b/>
                <w:sz w:val="24"/>
                <w:szCs w:val="24"/>
              </w:rPr>
            </w:pPr>
            <w:r w:rsidRPr="00DE19B1">
              <w:rPr>
                <w:rFonts w:ascii="Garamond" w:hAnsi="Garamond"/>
                <w:b/>
                <w:sz w:val="24"/>
                <w:szCs w:val="24"/>
              </w:rPr>
              <w:t>Year 5/6</w:t>
            </w:r>
          </w:p>
        </w:tc>
      </w:tr>
      <w:tr w:rsidR="00EE3318" w:rsidRPr="000556AF" w14:paraId="76649DB7" w14:textId="77777777" w:rsidTr="000F09A3">
        <w:trPr>
          <w:trHeight w:val="1542"/>
        </w:trPr>
        <w:tc>
          <w:tcPr>
            <w:tcW w:w="5575" w:type="dxa"/>
            <w:shd w:val="clear" w:color="auto" w:fill="auto"/>
            <w:tcMar>
              <w:top w:w="100" w:type="dxa"/>
              <w:left w:w="100" w:type="dxa"/>
              <w:bottom w:w="100" w:type="dxa"/>
              <w:right w:w="100" w:type="dxa"/>
            </w:tcMar>
          </w:tcPr>
          <w:p w14:paraId="45165DD9" w14:textId="77777777" w:rsidR="00D7379A" w:rsidRDefault="00D7379A" w:rsidP="00D7379A">
            <w:pPr>
              <w:widowControl w:val="0"/>
              <w:spacing w:line="240" w:lineRule="auto"/>
              <w:rPr>
                <w:rFonts w:ascii="Garamond" w:hAnsi="Garamond" w:cs="Calibri"/>
                <w:b/>
                <w:color w:val="4F81BD" w:themeColor="accent1"/>
                <w:sz w:val="24"/>
                <w:szCs w:val="24"/>
              </w:rPr>
            </w:pPr>
            <w:r w:rsidRPr="004C25EE">
              <w:rPr>
                <w:rFonts w:ascii="Garamond" w:hAnsi="Garamond" w:cs="Calibri"/>
                <w:b/>
                <w:color w:val="4F81BD" w:themeColor="accent1"/>
                <w:sz w:val="24"/>
                <w:szCs w:val="24"/>
              </w:rPr>
              <w:t xml:space="preserve">Explorers </w:t>
            </w:r>
            <w:r w:rsidRPr="00D7379A">
              <w:rPr>
                <w:rFonts w:ascii="Garamond" w:hAnsi="Garamond" w:cs="Calibri"/>
                <w:b/>
                <w:color w:val="4F81BD" w:themeColor="accent1"/>
                <w:sz w:val="24"/>
                <w:szCs w:val="24"/>
              </w:rPr>
              <w:t xml:space="preserve">– </w:t>
            </w:r>
            <w:r w:rsidRPr="00D7379A">
              <w:rPr>
                <w:rFonts w:ascii="Garamond" w:hAnsi="Garamond" w:cs="Calibri"/>
                <w:b/>
                <w:color w:val="4F81BD" w:themeColor="accent1"/>
                <w:sz w:val="24"/>
                <w:szCs w:val="24"/>
                <w:u w:val="single"/>
              </w:rPr>
              <w:t>Christopher Columbus; Neil Armstrong</w:t>
            </w:r>
            <w:r w:rsidRPr="004C25EE">
              <w:rPr>
                <w:rFonts w:ascii="Garamond" w:hAnsi="Garamond" w:cs="Calibri"/>
                <w:b/>
                <w:color w:val="4F81BD" w:themeColor="accent1"/>
                <w:sz w:val="24"/>
                <w:szCs w:val="24"/>
              </w:rPr>
              <w:t xml:space="preserve"> and </w:t>
            </w:r>
            <w:r w:rsidRPr="00D7379A">
              <w:rPr>
                <w:rFonts w:ascii="Garamond" w:hAnsi="Garamond" w:cs="Calibri"/>
                <w:b/>
                <w:color w:val="4F81BD" w:themeColor="accent1"/>
                <w:sz w:val="24"/>
                <w:szCs w:val="24"/>
              </w:rPr>
              <w:t>Tim Peake</w:t>
            </w:r>
            <w:r>
              <w:rPr>
                <w:rFonts w:ascii="Garamond" w:hAnsi="Garamond" w:cs="Calibri"/>
                <w:b/>
                <w:color w:val="4F81BD" w:themeColor="accent1"/>
                <w:sz w:val="24"/>
                <w:szCs w:val="24"/>
              </w:rPr>
              <w:t xml:space="preserve"> </w:t>
            </w:r>
          </w:p>
          <w:p w14:paraId="4D0F3B40" w14:textId="463D94B1" w:rsidR="00EE3318" w:rsidRPr="000F09A3" w:rsidRDefault="00D7379A" w:rsidP="00EE3318">
            <w:pPr>
              <w:widowControl w:val="0"/>
              <w:spacing w:line="240" w:lineRule="auto"/>
              <w:rPr>
                <w:rFonts w:ascii="Garamond" w:hAnsi="Garamond" w:cs="Calibri"/>
                <w:color w:val="4F81BD" w:themeColor="accent1"/>
                <w:sz w:val="24"/>
                <w:szCs w:val="24"/>
              </w:rPr>
            </w:pPr>
            <w:r w:rsidRPr="004C25EE">
              <w:rPr>
                <w:rFonts w:ascii="Garamond" w:hAnsi="Garamond" w:cs="Calibri"/>
                <w:color w:val="4F81BD" w:themeColor="accent1"/>
                <w:sz w:val="24"/>
                <w:szCs w:val="24"/>
              </w:rPr>
              <w:t>(Know about the lives of significant individuals in the past who have contributed to national and international achievements. Some should be used to compare aspects of life in different periods.)</w:t>
            </w:r>
          </w:p>
        </w:tc>
        <w:tc>
          <w:tcPr>
            <w:tcW w:w="4348" w:type="dxa"/>
            <w:shd w:val="clear" w:color="auto" w:fill="auto"/>
            <w:tcMar>
              <w:top w:w="100" w:type="dxa"/>
              <w:left w:w="100" w:type="dxa"/>
              <w:bottom w:w="100" w:type="dxa"/>
              <w:right w:w="100" w:type="dxa"/>
            </w:tcMar>
          </w:tcPr>
          <w:p w14:paraId="2AAF134C" w14:textId="18716C98" w:rsidR="00DE19B1" w:rsidRPr="00DE19B1" w:rsidRDefault="00DE19B1" w:rsidP="00DE19B1">
            <w:pPr>
              <w:widowControl w:val="0"/>
              <w:spacing w:line="240" w:lineRule="auto"/>
              <w:rPr>
                <w:rFonts w:ascii="Garamond" w:hAnsi="Garamond" w:cstheme="majorHAnsi"/>
                <w:b/>
                <w:color w:val="4F81BD" w:themeColor="accent1"/>
                <w:sz w:val="24"/>
                <w:szCs w:val="24"/>
              </w:rPr>
            </w:pPr>
            <w:r w:rsidRPr="00DE19B1">
              <w:rPr>
                <w:rFonts w:ascii="Garamond" w:hAnsi="Garamond" w:cstheme="majorHAnsi"/>
                <w:b/>
                <w:color w:val="4F81BD" w:themeColor="accent1"/>
                <w:sz w:val="24"/>
                <w:szCs w:val="24"/>
              </w:rPr>
              <w:t>The Ancient Maya</w:t>
            </w:r>
          </w:p>
          <w:p w14:paraId="5132C088" w14:textId="4AF239BF" w:rsidR="00DE19B1" w:rsidRDefault="00DE19B1" w:rsidP="00DE19B1">
            <w:pPr>
              <w:widowControl w:val="0"/>
              <w:spacing w:line="240" w:lineRule="auto"/>
            </w:pPr>
            <w:r>
              <w:rPr>
                <w:rFonts w:ascii="Garamond" w:hAnsi="Garamond" w:cstheme="majorHAnsi"/>
                <w:color w:val="4F81BD" w:themeColor="accent1"/>
                <w:sz w:val="24"/>
                <w:szCs w:val="24"/>
              </w:rPr>
              <w:t>(</w:t>
            </w:r>
            <w:r w:rsidR="00EE3318" w:rsidRPr="00DE19B1">
              <w:rPr>
                <w:rFonts w:ascii="Garamond" w:hAnsi="Garamond" w:cstheme="majorHAnsi"/>
                <w:color w:val="4F81BD" w:themeColor="accent1"/>
                <w:sz w:val="24"/>
                <w:szCs w:val="24"/>
              </w:rPr>
              <w:t>Know about a non-European society that provides contrasts with British history</w:t>
            </w:r>
            <w:r>
              <w:rPr>
                <w:rFonts w:ascii="Garamond" w:hAnsi="Garamond" w:cstheme="majorHAnsi"/>
                <w:color w:val="4F81BD" w:themeColor="accent1"/>
                <w:sz w:val="24"/>
                <w:szCs w:val="24"/>
              </w:rPr>
              <w:t>)</w:t>
            </w:r>
            <w:r w:rsidR="00EE3318" w:rsidRPr="00DE19B1">
              <w:rPr>
                <w:rFonts w:ascii="Garamond" w:hAnsi="Garamond" w:cstheme="majorHAnsi"/>
                <w:color w:val="4F81BD" w:themeColor="accent1"/>
                <w:sz w:val="24"/>
                <w:szCs w:val="24"/>
              </w:rPr>
              <w:t xml:space="preserve"> </w:t>
            </w:r>
          </w:p>
          <w:p w14:paraId="531B5118" w14:textId="2F99A00C" w:rsidR="00EE3318" w:rsidRPr="007F7C87" w:rsidRDefault="00EE3318" w:rsidP="00EE3318">
            <w:pPr>
              <w:widowControl w:val="0"/>
              <w:spacing w:line="240" w:lineRule="auto"/>
              <w:rPr>
                <w:rFonts w:asciiTheme="majorHAnsi" w:hAnsiTheme="majorHAnsi" w:cstheme="majorHAnsi"/>
                <w:b/>
                <w:sz w:val="20"/>
                <w:szCs w:val="20"/>
              </w:rPr>
            </w:pPr>
          </w:p>
        </w:tc>
        <w:tc>
          <w:tcPr>
            <w:tcW w:w="5575" w:type="dxa"/>
            <w:gridSpan w:val="2"/>
            <w:shd w:val="clear" w:color="auto" w:fill="auto"/>
            <w:tcMar>
              <w:top w:w="100" w:type="dxa"/>
              <w:left w:w="100" w:type="dxa"/>
              <w:bottom w:w="100" w:type="dxa"/>
              <w:right w:w="100" w:type="dxa"/>
            </w:tcMar>
          </w:tcPr>
          <w:p w14:paraId="529FECD9" w14:textId="77777777" w:rsidR="00DE19B1" w:rsidRPr="00DE19B1" w:rsidRDefault="00DE19B1" w:rsidP="00DE19B1">
            <w:pPr>
              <w:widowControl w:val="0"/>
              <w:spacing w:line="240" w:lineRule="auto"/>
              <w:rPr>
                <w:rFonts w:ascii="Garamond" w:hAnsi="Garamond" w:cstheme="majorHAnsi"/>
                <w:b/>
                <w:color w:val="4F81BD" w:themeColor="accent1"/>
                <w:sz w:val="24"/>
                <w:szCs w:val="24"/>
              </w:rPr>
            </w:pPr>
            <w:r w:rsidRPr="00DE19B1">
              <w:rPr>
                <w:rFonts w:ascii="Garamond" w:hAnsi="Garamond" w:cstheme="majorHAnsi"/>
                <w:b/>
                <w:color w:val="4F81BD" w:themeColor="accent1"/>
                <w:sz w:val="24"/>
                <w:szCs w:val="24"/>
              </w:rPr>
              <w:t>Ancient Greece</w:t>
            </w:r>
          </w:p>
          <w:p w14:paraId="4BB25400" w14:textId="258669CE" w:rsidR="00EE3318" w:rsidRPr="00DE19B1" w:rsidRDefault="00DE19B1" w:rsidP="00DE19B1">
            <w:pPr>
              <w:widowControl w:val="0"/>
              <w:spacing w:line="240" w:lineRule="auto"/>
              <w:rPr>
                <w:rFonts w:ascii="Garamond" w:hAnsi="Garamond" w:cstheme="majorHAnsi"/>
                <w:color w:val="4F81BD" w:themeColor="accent1"/>
                <w:sz w:val="24"/>
                <w:szCs w:val="24"/>
              </w:rPr>
            </w:pPr>
            <w:r w:rsidRPr="00DE19B1">
              <w:rPr>
                <w:rFonts w:ascii="Garamond" w:hAnsi="Garamond" w:cstheme="majorHAnsi"/>
                <w:color w:val="4F81BD" w:themeColor="accent1"/>
                <w:sz w:val="24"/>
                <w:szCs w:val="24"/>
              </w:rPr>
              <w:t>(</w:t>
            </w:r>
            <w:r w:rsidR="00EE3318" w:rsidRPr="00DE19B1">
              <w:rPr>
                <w:rFonts w:ascii="Garamond" w:hAnsi="Garamond" w:cstheme="majorHAnsi"/>
                <w:color w:val="4F81BD" w:themeColor="accent1"/>
                <w:sz w:val="24"/>
                <w:szCs w:val="24"/>
              </w:rPr>
              <w:t>Know about Ancient Greece – a study of Greek life and achievements and their influence on the western world</w:t>
            </w:r>
            <w:r w:rsidRPr="00DE19B1">
              <w:rPr>
                <w:rFonts w:ascii="Garamond" w:hAnsi="Garamond" w:cstheme="majorHAnsi"/>
                <w:color w:val="4F81BD" w:themeColor="accent1"/>
                <w:sz w:val="24"/>
                <w:szCs w:val="24"/>
              </w:rPr>
              <w:t>)</w:t>
            </w:r>
          </w:p>
          <w:p w14:paraId="0CFB0FB3" w14:textId="77777777" w:rsidR="00EE3318" w:rsidRPr="009B535A" w:rsidRDefault="00EE3318" w:rsidP="00EE3318">
            <w:pPr>
              <w:widowControl w:val="0"/>
              <w:spacing w:line="240" w:lineRule="auto"/>
              <w:rPr>
                <w:rFonts w:asciiTheme="majorHAnsi" w:hAnsiTheme="majorHAnsi" w:cstheme="majorHAnsi"/>
                <w:b/>
                <w:sz w:val="20"/>
                <w:szCs w:val="20"/>
              </w:rPr>
            </w:pPr>
          </w:p>
          <w:p w14:paraId="5DE266BB" w14:textId="77777777" w:rsidR="00EE3318" w:rsidRPr="009B535A" w:rsidRDefault="00EE3318" w:rsidP="00EE3318">
            <w:pPr>
              <w:widowControl w:val="0"/>
              <w:spacing w:line="240" w:lineRule="auto"/>
              <w:rPr>
                <w:rFonts w:asciiTheme="majorHAnsi" w:hAnsiTheme="majorHAnsi" w:cstheme="majorHAnsi"/>
                <w:sz w:val="20"/>
                <w:szCs w:val="20"/>
              </w:rPr>
            </w:pPr>
          </w:p>
          <w:p w14:paraId="64F49B3A" w14:textId="16F3FD94" w:rsidR="00EE3318" w:rsidRPr="009B535A" w:rsidRDefault="00EE3318" w:rsidP="00EE3318">
            <w:pPr>
              <w:widowControl w:val="0"/>
              <w:spacing w:line="240" w:lineRule="auto"/>
              <w:rPr>
                <w:rFonts w:asciiTheme="majorHAnsi" w:hAnsiTheme="majorHAnsi" w:cstheme="majorHAnsi"/>
                <w:b/>
                <w:sz w:val="20"/>
                <w:szCs w:val="20"/>
              </w:rPr>
            </w:pPr>
          </w:p>
          <w:p w14:paraId="5A02E2A1" w14:textId="78FB5B16" w:rsidR="00EE3318" w:rsidRPr="009B535A" w:rsidRDefault="00EE3318" w:rsidP="00EE3318">
            <w:pPr>
              <w:widowControl w:val="0"/>
              <w:spacing w:line="240" w:lineRule="auto"/>
              <w:rPr>
                <w:rFonts w:asciiTheme="majorHAnsi" w:hAnsiTheme="majorHAnsi" w:cstheme="majorHAnsi"/>
                <w:sz w:val="20"/>
                <w:szCs w:val="20"/>
              </w:rPr>
            </w:pPr>
          </w:p>
        </w:tc>
      </w:tr>
      <w:tr w:rsidR="000F09A3" w:rsidRPr="000556AF" w14:paraId="3602DBA8" w14:textId="77777777" w:rsidTr="000F09A3">
        <w:trPr>
          <w:trHeight w:val="1655"/>
        </w:trPr>
        <w:tc>
          <w:tcPr>
            <w:tcW w:w="5575" w:type="dxa"/>
            <w:vMerge w:val="restart"/>
            <w:shd w:val="clear" w:color="auto" w:fill="FFFFFF" w:themeFill="background1"/>
            <w:tcMar>
              <w:top w:w="100" w:type="dxa"/>
              <w:left w:w="100" w:type="dxa"/>
              <w:bottom w:w="100" w:type="dxa"/>
              <w:right w:w="100" w:type="dxa"/>
            </w:tcMar>
          </w:tcPr>
          <w:p w14:paraId="08AB6006" w14:textId="77777777" w:rsidR="000F09A3" w:rsidRPr="004C25EE" w:rsidRDefault="000F09A3" w:rsidP="00BA6A8D">
            <w:pPr>
              <w:widowControl w:val="0"/>
              <w:spacing w:line="240" w:lineRule="auto"/>
              <w:rPr>
                <w:rFonts w:ascii="Garamond" w:hAnsi="Garamond" w:cs="Calibri"/>
                <w:b/>
                <w:color w:val="4F81BD" w:themeColor="accent1"/>
                <w:sz w:val="24"/>
                <w:szCs w:val="24"/>
              </w:rPr>
            </w:pPr>
            <w:r w:rsidRPr="004C25EE">
              <w:rPr>
                <w:rFonts w:ascii="Garamond" w:hAnsi="Garamond" w:cs="Calibri"/>
                <w:b/>
                <w:color w:val="4F81BD" w:themeColor="accent1"/>
                <w:sz w:val="24"/>
                <w:szCs w:val="24"/>
              </w:rPr>
              <w:t xml:space="preserve">Inventors of travel and transport </w:t>
            </w:r>
            <w:r>
              <w:rPr>
                <w:rFonts w:ascii="Garamond" w:hAnsi="Garamond" w:cs="Calibri"/>
                <w:b/>
                <w:color w:val="4F81BD" w:themeColor="accent1"/>
                <w:sz w:val="24"/>
                <w:szCs w:val="24"/>
              </w:rPr>
              <w:t>–</w:t>
            </w:r>
            <w:r w:rsidRPr="004C25EE">
              <w:rPr>
                <w:rFonts w:ascii="Garamond" w:hAnsi="Garamond" w:cs="Calibri"/>
                <w:b/>
                <w:color w:val="4F81BD" w:themeColor="accent1"/>
                <w:sz w:val="24"/>
                <w:szCs w:val="24"/>
              </w:rPr>
              <w:t xml:space="preserve"> </w:t>
            </w:r>
            <w:r>
              <w:rPr>
                <w:rFonts w:ascii="Garamond" w:hAnsi="Garamond" w:cs="Calibri"/>
                <w:b/>
                <w:color w:val="4F81BD" w:themeColor="accent1"/>
                <w:sz w:val="24"/>
                <w:szCs w:val="24"/>
              </w:rPr>
              <w:t xml:space="preserve">How modes of travel have changed. </w:t>
            </w:r>
            <w:r w:rsidRPr="00D7379A">
              <w:rPr>
                <w:rFonts w:ascii="Garamond" w:hAnsi="Garamond" w:cs="Calibri"/>
                <w:b/>
                <w:color w:val="4F81BD" w:themeColor="accent1"/>
                <w:sz w:val="24"/>
                <w:szCs w:val="24"/>
              </w:rPr>
              <w:t>Brunel; Stephenson</w:t>
            </w:r>
            <w:r w:rsidRPr="004C25EE">
              <w:rPr>
                <w:rFonts w:ascii="Garamond" w:hAnsi="Garamond" w:cs="Calibri"/>
                <w:b/>
                <w:color w:val="4F81BD" w:themeColor="accent1"/>
                <w:sz w:val="24"/>
                <w:szCs w:val="24"/>
              </w:rPr>
              <w:t xml:space="preserve"> and the </w:t>
            </w:r>
            <w:r w:rsidRPr="00D7379A">
              <w:rPr>
                <w:rFonts w:ascii="Garamond" w:hAnsi="Garamond" w:cs="Calibri"/>
                <w:b/>
                <w:color w:val="4F81BD" w:themeColor="accent1"/>
                <w:sz w:val="24"/>
                <w:szCs w:val="24"/>
                <w:u w:val="single"/>
              </w:rPr>
              <w:t>Wright brothers</w:t>
            </w:r>
          </w:p>
          <w:p w14:paraId="318F6FFE" w14:textId="77777777" w:rsidR="000F09A3" w:rsidRDefault="000F09A3" w:rsidP="00BA6A8D">
            <w:pPr>
              <w:widowControl w:val="0"/>
              <w:spacing w:line="240" w:lineRule="auto"/>
              <w:rPr>
                <w:rFonts w:ascii="Garamond" w:hAnsi="Garamond" w:cs="Calibri"/>
                <w:color w:val="4F81BD" w:themeColor="accent1"/>
                <w:sz w:val="24"/>
                <w:szCs w:val="24"/>
              </w:rPr>
            </w:pPr>
            <w:r w:rsidRPr="004C25EE">
              <w:rPr>
                <w:rFonts w:ascii="Garamond" w:hAnsi="Garamond" w:cs="Calibri"/>
                <w:color w:val="4F81BD" w:themeColor="accent1"/>
                <w:sz w:val="24"/>
                <w:szCs w:val="24"/>
              </w:rPr>
              <w:t>(Know about the lives of significant individuals in the past who have contributed to national and international achievements. Some should be used to compare aspects of life in different periods.)</w:t>
            </w:r>
          </w:p>
          <w:p w14:paraId="66C82462" w14:textId="77777777" w:rsidR="000F09A3" w:rsidRDefault="000F09A3" w:rsidP="00BA6A8D">
            <w:pPr>
              <w:widowControl w:val="0"/>
              <w:spacing w:line="240" w:lineRule="auto"/>
              <w:rPr>
                <w:rFonts w:ascii="Garamond" w:hAnsi="Garamond" w:cs="Calibri"/>
                <w:color w:val="4F81BD" w:themeColor="accent1"/>
                <w:sz w:val="24"/>
                <w:szCs w:val="24"/>
              </w:rPr>
            </w:pPr>
            <w:r>
              <w:rPr>
                <w:rFonts w:ascii="Garamond" w:hAnsi="Garamond" w:cs="Calibri"/>
                <w:color w:val="4F81BD" w:themeColor="accent1"/>
                <w:sz w:val="24"/>
                <w:szCs w:val="24"/>
              </w:rPr>
              <w:t>(</w:t>
            </w:r>
            <w:r w:rsidRPr="004C25EE">
              <w:rPr>
                <w:rFonts w:ascii="Garamond" w:hAnsi="Garamond" w:cs="Calibri"/>
                <w:color w:val="4F81BD" w:themeColor="accent1"/>
                <w:sz w:val="24"/>
                <w:szCs w:val="24"/>
              </w:rPr>
              <w:t>Know about changes within living memory. Where appropriate, these should be used to reveal aspects of change in national life</w:t>
            </w:r>
            <w:r>
              <w:rPr>
                <w:rFonts w:ascii="Garamond" w:hAnsi="Garamond" w:cs="Calibri"/>
                <w:color w:val="4F81BD" w:themeColor="accent1"/>
                <w:sz w:val="24"/>
                <w:szCs w:val="24"/>
              </w:rPr>
              <w:t>)</w:t>
            </w:r>
          </w:p>
          <w:p w14:paraId="29D6CDFD" w14:textId="2728BDE3" w:rsidR="000F09A3" w:rsidRPr="004C25EE" w:rsidRDefault="000F09A3" w:rsidP="00BA6A8D">
            <w:pPr>
              <w:widowControl w:val="0"/>
              <w:spacing w:line="240" w:lineRule="auto"/>
              <w:rPr>
                <w:rFonts w:ascii="Garamond" w:hAnsi="Garamond" w:cs="Calibri"/>
                <w:b/>
                <w:color w:val="4F81BD" w:themeColor="accent1"/>
                <w:sz w:val="24"/>
                <w:szCs w:val="24"/>
              </w:rPr>
            </w:pPr>
            <w:r w:rsidRPr="002F24CE">
              <w:rPr>
                <w:rFonts w:ascii="Garamond" w:hAnsi="Garamond" w:cs="Calibri"/>
                <w:color w:val="4F81BD" w:themeColor="accent1"/>
                <w:sz w:val="24"/>
                <w:szCs w:val="24"/>
              </w:rPr>
              <w:t>(Events beyond living memory that are significant nationally or globally)</w:t>
            </w:r>
          </w:p>
        </w:tc>
        <w:tc>
          <w:tcPr>
            <w:tcW w:w="4348" w:type="dxa"/>
            <w:shd w:val="clear" w:color="auto" w:fill="FFFFFF" w:themeFill="background1"/>
            <w:tcMar>
              <w:top w:w="100" w:type="dxa"/>
              <w:left w:w="100" w:type="dxa"/>
              <w:bottom w:w="100" w:type="dxa"/>
              <w:right w:w="100" w:type="dxa"/>
            </w:tcMar>
          </w:tcPr>
          <w:p w14:paraId="0978EA6F" w14:textId="77777777" w:rsidR="000F09A3" w:rsidRPr="003E7D9D" w:rsidRDefault="000F09A3" w:rsidP="00BA6A8D">
            <w:pPr>
              <w:widowControl w:val="0"/>
              <w:spacing w:line="240" w:lineRule="auto"/>
              <w:rPr>
                <w:rFonts w:ascii="Garamond" w:hAnsi="Garamond" w:cstheme="majorHAnsi"/>
                <w:b/>
                <w:color w:val="00B050"/>
                <w:sz w:val="24"/>
                <w:szCs w:val="24"/>
              </w:rPr>
            </w:pPr>
            <w:r w:rsidRPr="003E7D9D">
              <w:rPr>
                <w:rFonts w:ascii="Garamond" w:hAnsi="Garamond" w:cstheme="majorHAnsi"/>
                <w:b/>
                <w:color w:val="00B050"/>
                <w:sz w:val="24"/>
                <w:szCs w:val="24"/>
              </w:rPr>
              <w:t xml:space="preserve">The Shang Dynasty </w:t>
            </w:r>
          </w:p>
          <w:p w14:paraId="25BA87D7" w14:textId="77777777" w:rsidR="000F09A3" w:rsidRDefault="000F09A3" w:rsidP="00BA6A8D">
            <w:pPr>
              <w:widowControl w:val="0"/>
              <w:spacing w:line="240" w:lineRule="auto"/>
              <w:rPr>
                <w:rFonts w:ascii="Garamond" w:hAnsi="Garamond" w:cstheme="majorHAnsi"/>
                <w:color w:val="00B050"/>
                <w:sz w:val="24"/>
                <w:szCs w:val="24"/>
              </w:rPr>
            </w:pPr>
            <w:r w:rsidRPr="003E7D9D">
              <w:rPr>
                <w:rFonts w:ascii="Garamond" w:hAnsi="Garamond" w:cstheme="majorHAnsi"/>
                <w:color w:val="00B050"/>
                <w:sz w:val="24"/>
                <w:szCs w:val="24"/>
              </w:rPr>
              <w:t>(Know about the achievements of the earliest civilizations – an overview of where and when the first civilizations appeared and a depth study of one)</w:t>
            </w:r>
          </w:p>
          <w:p w14:paraId="30A91D35" w14:textId="7FFA0CE8" w:rsidR="000F09A3" w:rsidRPr="003E7D9D" w:rsidRDefault="000F09A3" w:rsidP="000F09A3">
            <w:pPr>
              <w:widowControl w:val="0"/>
              <w:spacing w:line="240" w:lineRule="auto"/>
              <w:rPr>
                <w:rFonts w:ascii="Garamond" w:hAnsi="Garamond" w:cstheme="minorHAnsi"/>
                <w:b/>
                <w:color w:val="00B050"/>
                <w:sz w:val="24"/>
                <w:szCs w:val="24"/>
              </w:rPr>
            </w:pPr>
          </w:p>
        </w:tc>
        <w:tc>
          <w:tcPr>
            <w:tcW w:w="5575" w:type="dxa"/>
            <w:gridSpan w:val="2"/>
            <w:vMerge w:val="restart"/>
            <w:tcMar>
              <w:top w:w="100" w:type="dxa"/>
              <w:left w:w="100" w:type="dxa"/>
              <w:bottom w:w="100" w:type="dxa"/>
              <w:right w:w="100" w:type="dxa"/>
            </w:tcMar>
          </w:tcPr>
          <w:p w14:paraId="58045E6E" w14:textId="77777777" w:rsidR="000F09A3" w:rsidRPr="003E7D9D" w:rsidRDefault="000F09A3" w:rsidP="00BA6A8D">
            <w:pPr>
              <w:widowControl w:val="0"/>
              <w:spacing w:line="240" w:lineRule="auto"/>
              <w:rPr>
                <w:rFonts w:ascii="Garamond" w:hAnsi="Garamond" w:cstheme="minorHAnsi"/>
                <w:b/>
                <w:color w:val="00B050"/>
                <w:sz w:val="24"/>
                <w:szCs w:val="24"/>
              </w:rPr>
            </w:pPr>
            <w:r w:rsidRPr="003E7D9D">
              <w:rPr>
                <w:rFonts w:ascii="Garamond" w:hAnsi="Garamond" w:cstheme="minorHAnsi"/>
                <w:b/>
                <w:color w:val="00B050"/>
                <w:sz w:val="24"/>
                <w:szCs w:val="24"/>
              </w:rPr>
              <w:t>Kingdom of Benin</w:t>
            </w:r>
          </w:p>
          <w:p w14:paraId="62D239DE" w14:textId="3AA790A1" w:rsidR="000F09A3" w:rsidRPr="009B535A" w:rsidRDefault="000F09A3" w:rsidP="00BA6A8D">
            <w:pPr>
              <w:widowControl w:val="0"/>
              <w:spacing w:line="240" w:lineRule="auto"/>
              <w:rPr>
                <w:rFonts w:asciiTheme="majorHAnsi" w:hAnsiTheme="majorHAnsi" w:cstheme="majorHAnsi"/>
                <w:b/>
                <w:sz w:val="20"/>
                <w:szCs w:val="20"/>
              </w:rPr>
            </w:pPr>
            <w:r>
              <w:rPr>
                <w:rFonts w:ascii="Garamond" w:hAnsi="Garamond" w:cstheme="majorHAnsi"/>
                <w:color w:val="00B050"/>
                <w:sz w:val="24"/>
                <w:szCs w:val="24"/>
              </w:rPr>
              <w:t>(</w:t>
            </w:r>
            <w:r w:rsidRPr="003E7D9D">
              <w:rPr>
                <w:rFonts w:ascii="Garamond" w:hAnsi="Garamond" w:cstheme="majorHAnsi"/>
                <w:color w:val="00B050"/>
                <w:sz w:val="24"/>
                <w:szCs w:val="24"/>
              </w:rPr>
              <w:t>Know about a non-European society that provides contrasts with British history</w:t>
            </w:r>
            <w:r>
              <w:rPr>
                <w:rFonts w:ascii="Garamond" w:hAnsi="Garamond" w:cstheme="majorHAnsi"/>
                <w:color w:val="00B050"/>
                <w:sz w:val="24"/>
                <w:szCs w:val="24"/>
              </w:rPr>
              <w:t>)</w:t>
            </w:r>
          </w:p>
        </w:tc>
      </w:tr>
      <w:tr w:rsidR="000F09A3" w:rsidRPr="000556AF" w14:paraId="58071FF5" w14:textId="77777777" w:rsidTr="000F09A3">
        <w:trPr>
          <w:trHeight w:val="1499"/>
        </w:trPr>
        <w:tc>
          <w:tcPr>
            <w:tcW w:w="5575" w:type="dxa"/>
            <w:vMerge/>
            <w:shd w:val="clear" w:color="auto" w:fill="FFFFFF" w:themeFill="background1"/>
            <w:tcMar>
              <w:top w:w="100" w:type="dxa"/>
              <w:left w:w="100" w:type="dxa"/>
              <w:bottom w:w="100" w:type="dxa"/>
              <w:right w:w="100" w:type="dxa"/>
            </w:tcMar>
          </w:tcPr>
          <w:p w14:paraId="42D00F4C" w14:textId="77777777" w:rsidR="000F09A3" w:rsidRPr="004C25EE" w:rsidRDefault="000F09A3" w:rsidP="00BA6A8D">
            <w:pPr>
              <w:widowControl w:val="0"/>
              <w:spacing w:line="240" w:lineRule="auto"/>
              <w:rPr>
                <w:rFonts w:ascii="Garamond" w:hAnsi="Garamond" w:cs="Calibri"/>
                <w:b/>
                <w:color w:val="4F81BD" w:themeColor="accent1"/>
                <w:sz w:val="24"/>
                <w:szCs w:val="24"/>
              </w:rPr>
            </w:pPr>
          </w:p>
        </w:tc>
        <w:tc>
          <w:tcPr>
            <w:tcW w:w="4348" w:type="dxa"/>
            <w:shd w:val="clear" w:color="auto" w:fill="FFFFFF" w:themeFill="background1"/>
            <w:tcMar>
              <w:top w:w="100" w:type="dxa"/>
              <w:left w:w="100" w:type="dxa"/>
              <w:bottom w:w="100" w:type="dxa"/>
              <w:right w:w="100" w:type="dxa"/>
            </w:tcMar>
          </w:tcPr>
          <w:p w14:paraId="5520FEC5" w14:textId="079E7945" w:rsidR="000F09A3" w:rsidRPr="003E7D9D" w:rsidRDefault="000F09A3" w:rsidP="000F09A3">
            <w:pPr>
              <w:widowControl w:val="0"/>
              <w:spacing w:line="240" w:lineRule="auto"/>
              <w:rPr>
                <w:rFonts w:ascii="Garamond" w:hAnsi="Garamond" w:cstheme="minorHAnsi"/>
                <w:b/>
                <w:color w:val="00B050"/>
                <w:sz w:val="24"/>
                <w:szCs w:val="24"/>
              </w:rPr>
            </w:pPr>
            <w:r w:rsidRPr="003E7D9D">
              <w:rPr>
                <w:rFonts w:ascii="Garamond" w:hAnsi="Garamond" w:cstheme="minorHAnsi"/>
                <w:b/>
                <w:color w:val="00B050"/>
                <w:sz w:val="24"/>
                <w:szCs w:val="24"/>
              </w:rPr>
              <w:t>The earliest civilizations</w:t>
            </w:r>
          </w:p>
          <w:p w14:paraId="6DDAA09C" w14:textId="77777777" w:rsidR="000F09A3" w:rsidRDefault="000F09A3" w:rsidP="000F09A3">
            <w:pPr>
              <w:widowControl w:val="0"/>
              <w:spacing w:line="240" w:lineRule="auto"/>
              <w:rPr>
                <w:rFonts w:ascii="Garamond" w:hAnsi="Garamond" w:cstheme="majorHAnsi"/>
                <w:color w:val="00B050"/>
                <w:sz w:val="24"/>
                <w:szCs w:val="24"/>
              </w:rPr>
            </w:pPr>
            <w:r w:rsidRPr="003E7D9D">
              <w:rPr>
                <w:rFonts w:ascii="Garamond" w:hAnsi="Garamond" w:cstheme="majorHAnsi"/>
                <w:color w:val="00B050"/>
                <w:sz w:val="24"/>
                <w:szCs w:val="24"/>
              </w:rPr>
              <w:t>(Know about the achievements of the earliest civilizations – an overview of where and when the first civilizations appeared)</w:t>
            </w:r>
          </w:p>
          <w:p w14:paraId="42E7A2E3" w14:textId="77777777" w:rsidR="000F09A3" w:rsidRPr="003E7D9D" w:rsidRDefault="000F09A3" w:rsidP="00BA6A8D">
            <w:pPr>
              <w:widowControl w:val="0"/>
              <w:spacing w:line="240" w:lineRule="auto"/>
              <w:rPr>
                <w:rFonts w:ascii="Garamond" w:hAnsi="Garamond" w:cstheme="majorHAnsi"/>
                <w:b/>
                <w:color w:val="00B050"/>
                <w:sz w:val="24"/>
                <w:szCs w:val="24"/>
              </w:rPr>
            </w:pPr>
          </w:p>
        </w:tc>
        <w:tc>
          <w:tcPr>
            <w:tcW w:w="5575" w:type="dxa"/>
            <w:gridSpan w:val="2"/>
            <w:vMerge/>
            <w:tcMar>
              <w:top w:w="100" w:type="dxa"/>
              <w:left w:w="100" w:type="dxa"/>
              <w:bottom w:w="100" w:type="dxa"/>
              <w:right w:w="100" w:type="dxa"/>
            </w:tcMar>
          </w:tcPr>
          <w:p w14:paraId="4B60B4DB" w14:textId="77777777" w:rsidR="000F09A3" w:rsidRPr="003E7D9D" w:rsidRDefault="000F09A3" w:rsidP="00BA6A8D">
            <w:pPr>
              <w:widowControl w:val="0"/>
              <w:spacing w:line="240" w:lineRule="auto"/>
              <w:rPr>
                <w:rFonts w:ascii="Garamond" w:hAnsi="Garamond" w:cstheme="minorHAnsi"/>
                <w:b/>
                <w:color w:val="00B050"/>
                <w:sz w:val="24"/>
                <w:szCs w:val="24"/>
              </w:rPr>
            </w:pPr>
          </w:p>
        </w:tc>
      </w:tr>
    </w:tbl>
    <w:p w14:paraId="0D036DF8" w14:textId="77777777" w:rsidR="003B7CBB" w:rsidRPr="0028271D" w:rsidRDefault="003B7CBB">
      <w:pPr>
        <w:rPr>
          <w:sz w:val="28"/>
          <w:szCs w:val="28"/>
        </w:rPr>
      </w:pPr>
    </w:p>
    <w:p w14:paraId="78C483A3" w14:textId="77777777" w:rsidR="0028271D" w:rsidRPr="0028271D" w:rsidRDefault="0028271D" w:rsidP="0028271D">
      <w:pPr>
        <w:rPr>
          <w:rFonts w:ascii="Garamond" w:hAnsi="Garamond" w:cstheme="minorHAnsi"/>
          <w:color w:val="4F81BD" w:themeColor="accent1"/>
          <w:sz w:val="28"/>
          <w:szCs w:val="28"/>
          <w:u w:val="single"/>
        </w:rPr>
      </w:pPr>
      <w:r w:rsidRPr="0028271D">
        <w:rPr>
          <w:rFonts w:ascii="Garamond" w:hAnsi="Garamond" w:cstheme="minorHAnsi"/>
          <w:color w:val="4F81BD" w:themeColor="accent1"/>
          <w:sz w:val="28"/>
          <w:szCs w:val="28"/>
          <w:u w:val="single"/>
        </w:rPr>
        <w:t>Year 1 – 2021-2022</w:t>
      </w:r>
    </w:p>
    <w:p w14:paraId="25FAF668" w14:textId="77777777" w:rsidR="0028271D" w:rsidRPr="0028271D" w:rsidRDefault="0028271D" w:rsidP="0028271D">
      <w:pPr>
        <w:rPr>
          <w:rFonts w:ascii="Garamond" w:hAnsi="Garamond" w:cstheme="minorHAnsi"/>
          <w:sz w:val="28"/>
          <w:szCs w:val="28"/>
          <w:u w:val="single"/>
        </w:rPr>
      </w:pPr>
    </w:p>
    <w:p w14:paraId="27CBC6BB" w14:textId="77777777" w:rsidR="0028271D" w:rsidRPr="0028271D" w:rsidRDefault="0028271D" w:rsidP="0028271D">
      <w:pPr>
        <w:rPr>
          <w:rFonts w:ascii="Garamond" w:hAnsi="Garamond" w:cstheme="minorHAnsi"/>
          <w:color w:val="00B050"/>
          <w:sz w:val="28"/>
          <w:szCs w:val="28"/>
          <w:u w:val="single"/>
        </w:rPr>
      </w:pPr>
      <w:r w:rsidRPr="0028271D">
        <w:rPr>
          <w:rFonts w:ascii="Garamond" w:hAnsi="Garamond" w:cstheme="minorHAnsi"/>
          <w:color w:val="00B050"/>
          <w:sz w:val="28"/>
          <w:szCs w:val="28"/>
          <w:u w:val="single"/>
        </w:rPr>
        <w:t>Year 2 - 2022-2023</w:t>
      </w:r>
    </w:p>
    <w:p w14:paraId="579E7991" w14:textId="77777777" w:rsidR="003B7CBB" w:rsidRPr="000556AF" w:rsidRDefault="003B7CBB">
      <w:pPr>
        <w:rPr>
          <w:sz w:val="20"/>
          <w:szCs w:val="20"/>
        </w:rPr>
      </w:pPr>
    </w:p>
    <w:sectPr w:rsidR="003B7CBB" w:rsidRPr="000556AF">
      <w:pgSz w:w="16838" w:h="11906" w:orient="landscape"/>
      <w:pgMar w:top="360" w:right="360" w:bottom="360" w:left="36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AD4925"/>
    <w:multiLevelType w:val="multilevel"/>
    <w:tmpl w:val="A45496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CBB"/>
    <w:rsid w:val="000204E9"/>
    <w:rsid w:val="00024C70"/>
    <w:rsid w:val="00040B05"/>
    <w:rsid w:val="00042386"/>
    <w:rsid w:val="00046013"/>
    <w:rsid w:val="000556AF"/>
    <w:rsid w:val="00070487"/>
    <w:rsid w:val="000818AA"/>
    <w:rsid w:val="000834A0"/>
    <w:rsid w:val="000D4977"/>
    <w:rsid w:val="000F09A3"/>
    <w:rsid w:val="000F32A4"/>
    <w:rsid w:val="00102872"/>
    <w:rsid w:val="00115E17"/>
    <w:rsid w:val="001258E4"/>
    <w:rsid w:val="0013460E"/>
    <w:rsid w:val="0017108C"/>
    <w:rsid w:val="00192291"/>
    <w:rsid w:val="001B764E"/>
    <w:rsid w:val="001D1CDE"/>
    <w:rsid w:val="001D47FC"/>
    <w:rsid w:val="001F224A"/>
    <w:rsid w:val="00203458"/>
    <w:rsid w:val="00212764"/>
    <w:rsid w:val="00254A0F"/>
    <w:rsid w:val="0028271D"/>
    <w:rsid w:val="00283024"/>
    <w:rsid w:val="00291986"/>
    <w:rsid w:val="002E57B9"/>
    <w:rsid w:val="002F24CE"/>
    <w:rsid w:val="002F7ED7"/>
    <w:rsid w:val="00311BE2"/>
    <w:rsid w:val="00312033"/>
    <w:rsid w:val="00343569"/>
    <w:rsid w:val="00384677"/>
    <w:rsid w:val="003A04A0"/>
    <w:rsid w:val="003B03B3"/>
    <w:rsid w:val="003B43DD"/>
    <w:rsid w:val="003B5880"/>
    <w:rsid w:val="003B7CBB"/>
    <w:rsid w:val="003E7D9D"/>
    <w:rsid w:val="00400B4A"/>
    <w:rsid w:val="004169E4"/>
    <w:rsid w:val="004472C2"/>
    <w:rsid w:val="004475DF"/>
    <w:rsid w:val="0045030A"/>
    <w:rsid w:val="00454E57"/>
    <w:rsid w:val="004567BA"/>
    <w:rsid w:val="004603C0"/>
    <w:rsid w:val="00463DA1"/>
    <w:rsid w:val="00470393"/>
    <w:rsid w:val="004A33FD"/>
    <w:rsid w:val="004C25EE"/>
    <w:rsid w:val="004C54AC"/>
    <w:rsid w:val="004E60AB"/>
    <w:rsid w:val="00501342"/>
    <w:rsid w:val="00502E66"/>
    <w:rsid w:val="005313ED"/>
    <w:rsid w:val="00573C8F"/>
    <w:rsid w:val="005766BE"/>
    <w:rsid w:val="00597DEC"/>
    <w:rsid w:val="005B6146"/>
    <w:rsid w:val="005B6FD7"/>
    <w:rsid w:val="005D3387"/>
    <w:rsid w:val="005D3E44"/>
    <w:rsid w:val="005E0976"/>
    <w:rsid w:val="00604AA8"/>
    <w:rsid w:val="0062401C"/>
    <w:rsid w:val="0063660B"/>
    <w:rsid w:val="00640294"/>
    <w:rsid w:val="00660161"/>
    <w:rsid w:val="00662132"/>
    <w:rsid w:val="006625E4"/>
    <w:rsid w:val="00676674"/>
    <w:rsid w:val="006845D2"/>
    <w:rsid w:val="006A1849"/>
    <w:rsid w:val="006C5751"/>
    <w:rsid w:val="006D3CB2"/>
    <w:rsid w:val="006E03C2"/>
    <w:rsid w:val="006F76BC"/>
    <w:rsid w:val="00712452"/>
    <w:rsid w:val="00713FCD"/>
    <w:rsid w:val="007270B2"/>
    <w:rsid w:val="007777E5"/>
    <w:rsid w:val="007918D2"/>
    <w:rsid w:val="007D74B4"/>
    <w:rsid w:val="007E68BB"/>
    <w:rsid w:val="007F7C87"/>
    <w:rsid w:val="0081750E"/>
    <w:rsid w:val="00833373"/>
    <w:rsid w:val="008366A1"/>
    <w:rsid w:val="00863CA7"/>
    <w:rsid w:val="0086792B"/>
    <w:rsid w:val="00874CD3"/>
    <w:rsid w:val="00877E6F"/>
    <w:rsid w:val="008A1F7C"/>
    <w:rsid w:val="008B6F14"/>
    <w:rsid w:val="008D2EA4"/>
    <w:rsid w:val="008E3496"/>
    <w:rsid w:val="008E5F6A"/>
    <w:rsid w:val="008F5A05"/>
    <w:rsid w:val="009061C4"/>
    <w:rsid w:val="00911AC4"/>
    <w:rsid w:val="009139A3"/>
    <w:rsid w:val="00932684"/>
    <w:rsid w:val="00942EA5"/>
    <w:rsid w:val="00956132"/>
    <w:rsid w:val="00970B1D"/>
    <w:rsid w:val="009812EA"/>
    <w:rsid w:val="009A2FF1"/>
    <w:rsid w:val="009B535A"/>
    <w:rsid w:val="009C2B63"/>
    <w:rsid w:val="009C3F8F"/>
    <w:rsid w:val="009C48F2"/>
    <w:rsid w:val="009D176C"/>
    <w:rsid w:val="009E165B"/>
    <w:rsid w:val="009E3D1C"/>
    <w:rsid w:val="009F303A"/>
    <w:rsid w:val="00A16AE4"/>
    <w:rsid w:val="00A26E5D"/>
    <w:rsid w:val="00A3128E"/>
    <w:rsid w:val="00A63A8D"/>
    <w:rsid w:val="00A73A1F"/>
    <w:rsid w:val="00A73F0D"/>
    <w:rsid w:val="00A773FB"/>
    <w:rsid w:val="00AA2E50"/>
    <w:rsid w:val="00AE0867"/>
    <w:rsid w:val="00AF08F4"/>
    <w:rsid w:val="00AF19CA"/>
    <w:rsid w:val="00AF28A6"/>
    <w:rsid w:val="00AF3015"/>
    <w:rsid w:val="00B00827"/>
    <w:rsid w:val="00B21771"/>
    <w:rsid w:val="00B448E2"/>
    <w:rsid w:val="00B62351"/>
    <w:rsid w:val="00B62FA3"/>
    <w:rsid w:val="00B76394"/>
    <w:rsid w:val="00B8054D"/>
    <w:rsid w:val="00B966E9"/>
    <w:rsid w:val="00BA6A8D"/>
    <w:rsid w:val="00BB2AC3"/>
    <w:rsid w:val="00BD4C8B"/>
    <w:rsid w:val="00C14202"/>
    <w:rsid w:val="00C4473A"/>
    <w:rsid w:val="00C96470"/>
    <w:rsid w:val="00CB2A17"/>
    <w:rsid w:val="00CC1BCD"/>
    <w:rsid w:val="00CD7096"/>
    <w:rsid w:val="00CD7867"/>
    <w:rsid w:val="00CE1F59"/>
    <w:rsid w:val="00CF1E2A"/>
    <w:rsid w:val="00D24F41"/>
    <w:rsid w:val="00D3159A"/>
    <w:rsid w:val="00D4346F"/>
    <w:rsid w:val="00D465C7"/>
    <w:rsid w:val="00D47EEE"/>
    <w:rsid w:val="00D66638"/>
    <w:rsid w:val="00D7379A"/>
    <w:rsid w:val="00D8006C"/>
    <w:rsid w:val="00D85528"/>
    <w:rsid w:val="00DB689C"/>
    <w:rsid w:val="00DD6BF3"/>
    <w:rsid w:val="00DD7E8E"/>
    <w:rsid w:val="00DE19B1"/>
    <w:rsid w:val="00DE6811"/>
    <w:rsid w:val="00E341DC"/>
    <w:rsid w:val="00E70DF3"/>
    <w:rsid w:val="00E867BE"/>
    <w:rsid w:val="00E93948"/>
    <w:rsid w:val="00EB00BC"/>
    <w:rsid w:val="00EC318F"/>
    <w:rsid w:val="00EE3318"/>
    <w:rsid w:val="00EE6F28"/>
    <w:rsid w:val="00EF48CA"/>
    <w:rsid w:val="00EF7876"/>
    <w:rsid w:val="00F01B03"/>
    <w:rsid w:val="00F0423F"/>
    <w:rsid w:val="00F23E1B"/>
    <w:rsid w:val="00F41C9F"/>
    <w:rsid w:val="00F456E1"/>
    <w:rsid w:val="00F63154"/>
    <w:rsid w:val="00F9680E"/>
    <w:rsid w:val="00FA7AEB"/>
    <w:rsid w:val="00FB3747"/>
    <w:rsid w:val="00FB6528"/>
    <w:rsid w:val="00FD6C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A24A2"/>
  <w15:docId w15:val="{AA55A3C0-71B7-4981-ABB6-CC506ACAE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ustomXml" Target="../customXml/item5.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MigrationWizIdPermissions xmlns="1095825a-ff4a-4656-b561-bd0c70d70820" xsi:nil="true"/>
    <MigrationWizIdPermissionLevels xmlns="1095825a-ff4a-4656-b561-bd0c70d70820" xsi:nil="true"/>
    <MigrationWizIdDocumentLibraryPermissions xmlns="1095825a-ff4a-4656-b561-bd0c70d70820" xsi:nil="true"/>
    <MigrationWizId xmlns="1095825a-ff4a-4656-b561-bd0c70d70820" xsi:nil="true"/>
    <MigrationWizIdSecurityGroups xmlns="1095825a-ff4a-4656-b561-bd0c70d70820" xsi:nil="true"/>
    <_dlc_DocId xmlns="f7b32164-f257-4eb2-9bcc-3f72bf860f94">7X63MYE4TVAF-220787962-138943</_dlc_DocId>
    <_dlc_DocIdUrl xmlns="f7b32164-f257-4eb2-9bcc-3f72bf860f94">
      <Url>https://fccoxonschuk.sharepoint.com/sites/BUC-StaffShared/_layouts/15/DocIdRedir.aspx?ID=7X63MYE4TVAF-220787962-138943</Url>
      <Description>7X63MYE4TVAF-220787962-138943</Description>
    </_dlc_DocIdUrl>
    <TaxCatchAll xmlns="f7b32164-f257-4eb2-9bcc-3f72bf860f94" xsi:nil="true"/>
    <lcf76f155ced4ddcb4097134ff3c332f xmlns="1095825a-ff4a-4656-b561-bd0c70d7082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27448E626EB8B4DACACD9224AA7C803" ma:contentTypeVersion="21" ma:contentTypeDescription="Create a new document." ma:contentTypeScope="" ma:versionID="9f31c7c0ef149c976a0640aeb0191266">
  <xsd:schema xmlns:xsd="http://www.w3.org/2001/XMLSchema" xmlns:xs="http://www.w3.org/2001/XMLSchema" xmlns:p="http://schemas.microsoft.com/office/2006/metadata/properties" xmlns:ns2="1095825a-ff4a-4656-b561-bd0c70d70820" xmlns:ns3="f7b32164-f257-4eb2-9bcc-3f72bf860f94" targetNamespace="http://schemas.microsoft.com/office/2006/metadata/properties" ma:root="true" ma:fieldsID="4b76f05d1720d115ac15be8855ea1950" ns2:_="" ns3:_="">
    <xsd:import namespace="1095825a-ff4a-4656-b561-bd0c70d70820"/>
    <xsd:import namespace="f7b32164-f257-4eb2-9bcc-3f72bf860f94"/>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LengthInSeconds" minOccurs="0"/>
                <xsd:element ref="ns3:_dlc_DocId" minOccurs="0"/>
                <xsd:element ref="ns3:_dlc_DocIdUrl" minOccurs="0"/>
                <xsd:element ref="ns3:_dlc_DocIdPersistId"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95825a-ff4a-4656-b561-bd0c70d7082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element name="MediaLengthInSeconds" ma:index="25" nillable="true" ma:displayName="Length (seconds)" ma:internalName="MediaLengthInSeconds" ma:readOnly="true">
      <xsd:simpleType>
        <xsd:restriction base="dms:Unknown"/>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448e4108-20e9-45b5-affd-9eb546e4947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7b32164-f257-4eb2-9bcc-3f72bf860f9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_dlc_DocId" ma:index="26" nillable="true" ma:displayName="Document ID Value" ma:description="The value of the document ID assigned to this item." ma:internalName="_dlc_DocId" ma:readOnly="true">
      <xsd:simpleType>
        <xsd:restriction base="dms:Text"/>
      </xsd:simpleType>
    </xsd:element>
    <xsd:element name="_dlc_DocIdUrl" ma:index="2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element name="TaxCatchAll" ma:index="31" nillable="true" ma:displayName="Taxonomy Catch All Column" ma:hidden="true" ma:list="{0c73ff7c-9f20-449f-a6cd-079908b4f604}" ma:internalName="TaxCatchAll" ma:showField="CatchAllData" ma:web="f7b32164-f257-4eb2-9bcc-3f72bf860f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BF4010D-C62F-419D-81BA-6037EE236BB1}">
  <ds:schemaRefs>
    <ds:schemaRef ds:uri="http://purl.org/dc/elements/1.1/"/>
    <ds:schemaRef ds:uri="http://schemas.microsoft.com/office/2006/metadata/properties"/>
    <ds:schemaRef ds:uri="http://schemas.microsoft.com/office/2006/documentManagement/types"/>
    <ds:schemaRef ds:uri="798f563b-aac4-4f22-8930-848dd3493a87"/>
    <ds:schemaRef ds:uri="http://purl.org/dc/terms/"/>
    <ds:schemaRef ds:uri="http://purl.org/dc/dcmitype/"/>
    <ds:schemaRef ds:uri="http://www.w3.org/XML/1998/namespace"/>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37E985BE-41EC-4914-9C25-D373006A612C}"/>
</file>

<file path=customXml/itemProps3.xml><?xml version="1.0" encoding="utf-8"?>
<ds:datastoreItem xmlns:ds="http://schemas.openxmlformats.org/officeDocument/2006/customXml" ds:itemID="{91EC706C-81FB-4DBD-AC63-E43AC89900BC}">
  <ds:schemaRefs>
    <ds:schemaRef ds:uri="http://schemas.microsoft.com/sharepoint/v3/contenttype/forms"/>
  </ds:schemaRefs>
</ds:datastoreItem>
</file>

<file path=customXml/itemProps4.xml><?xml version="1.0" encoding="utf-8"?>
<ds:datastoreItem xmlns:ds="http://schemas.openxmlformats.org/officeDocument/2006/customXml" ds:itemID="{90D7556C-CF34-4A97-B397-674B74EF44E2}">
  <ds:schemaRefs>
    <ds:schemaRef ds:uri="http://schemas.openxmlformats.org/officeDocument/2006/bibliography"/>
  </ds:schemaRefs>
</ds:datastoreItem>
</file>

<file path=customXml/itemProps5.xml><?xml version="1.0" encoding="utf-8"?>
<ds:datastoreItem xmlns:ds="http://schemas.openxmlformats.org/officeDocument/2006/customXml" ds:itemID="{4FD01C0A-8FCB-478C-A03B-D0DA25AE38F6}"/>
</file>

<file path=docProps/app.xml><?xml version="1.0" encoding="utf-8"?>
<Properties xmlns="http://schemas.openxmlformats.org/officeDocument/2006/extended-properties" xmlns:vt="http://schemas.openxmlformats.org/officeDocument/2006/docPropsVTypes">
  <Template>Normal</Template>
  <TotalTime>406</TotalTime>
  <Pages>4</Pages>
  <Words>1139</Words>
  <Characters>6498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FAOS</Company>
  <LinksUpToDate>false</LinksUpToDate>
  <CharactersWithSpaces>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Emma Brown</dc:creator>
  <cp:lastModifiedBy>Emma Brown</cp:lastModifiedBy>
  <cp:revision>169</cp:revision>
  <dcterms:created xsi:type="dcterms:W3CDTF">2022-01-19T09:54:00Z</dcterms:created>
  <dcterms:modified xsi:type="dcterms:W3CDTF">2022-05-04T13:03:00Z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0x010100527448E626EB8B4DACACD9224AA7C803</vt:lpwstr>
  </property>
  <property fmtid="{D5CDD505-2E9C-101B-9397-08002B2CF9AE}" pid="3" name="_dlc_DocIdItemGuid">
    <vt:lpwstr>986d8b15-2a6c-4c65-8aa3-1a1de195d146</vt:lpwstr>
  </property>
</Properties>
</file>